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4.png" ContentType="image/png"/>
  <Override PartName="/word/media/rId247.png" ContentType="image/png"/>
  <Override PartName="/word/media/rId237.png" ContentType="image/png"/>
  <Override PartName="/word/media/rId240.png" ContentType="image/png"/>
  <Override PartName="/word/media/rId136.png" ContentType="image/png"/>
  <Override PartName="/word/media/rId156.eps" ContentType="application/eps"/>
  <Override PartName="/word/media/rId100.png" ContentType="image/png"/>
  <Override PartName="/word/media/rId269.png" ContentType="image/png"/>
  <Override PartName="/word/media/rId66.png" ContentType="image/png"/>
  <Override PartName="/word/media/rId30.pdf" ContentType="application/pdf"/>
  <Override PartName="/word/media/rId164.png" ContentType="image/png"/>
  <Override PartName="/word/media/rId171.png" ContentType="image/png"/>
  <Override PartName="/word/media/rId61.png" ContentType="image/png"/>
  <Override PartName="/word/media/rId108.png" ContentType="image/png"/>
  <Override PartName="/word/media/rId228.png" ContentType="image/png"/>
  <Override PartName="/word/media/rId167.eps" ContentType="application/eps"/>
  <Override PartName="/word/media/rId218.png" ContentType="image/png"/>
  <Override PartName="/word/media/rId36.pdf" ContentType="application/pdf"/>
  <Override PartName="/word/media/rId189.png" ContentType="image/png"/>
  <Override PartName="/word/media/rId160.eps" ContentType="application/eps"/>
  <Override PartName="/word/media/rId222.png" ContentType="image/png"/>
  <Override PartName="/word/media/rId50.png" ContentType="image/png"/>
  <Override PartName="/word/media/rId144.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October 31,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3" w:name="acknowledgements"/>
    <w:p>
      <w:pPr>
        <w:pStyle w:val="Heading1"/>
      </w:pPr>
      <w:r>
        <w:t xml:space="preserve">Acknowledgements</w:t>
      </w:r>
    </w:p>
    <w:bookmarkStart w:id="21" w:name="first-paper"/>
    <w:p>
      <w:pPr>
        <w:pStyle w:val="Heading2"/>
      </w:pPr>
      <w:r>
        <w:rPr>
          <w:rStyle w:val="SectionNumber"/>
        </w:rPr>
        <w:t xml:space="preserve">0.1</w:t>
      </w:r>
      <w:r>
        <w:tab/>
      </w: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rPr>
          <w:rStyle w:val="SectionNumber"/>
        </w:rPr>
        <w:t xml:space="preserve">0.2</w:t>
      </w:r>
      <w:r>
        <w:tab/>
      </w: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r>
        <w:t xml:space="preserve"> </w:t>
      </w:r>
    </w:p>
    <w:bookmarkEnd w:id="22"/>
    <w:bookmarkEnd w:id="23"/>
    <w:p>
      <w:pPr>
        <w:pStyle w:val="Heading1"/>
      </w:pPr>
      <w:r>
        <w:rPr>
          <w:rStyle w:val="SectionNumber"/>
        </w:rPr>
        <w:t xml:space="preserve">1</w:t>
      </w:r>
      <w:r>
        <w:tab/>
      </w:r>
      <w:r>
        <w:t xml:space="preserve">List of Figures</w:t>
      </w:r>
    </w:p>
    <w:p>
      <w:pPr>
        <w:pStyle w:val="FirstParagraph"/>
      </w:pPr>
      <w:r>
        <w:t xml:space="preserve">1. Conventional bulk power system, including generation, transmission, distribution and industrial, commercial and residential end-users (loads). Source:</w:t>
      </w:r>
      <w:r>
        <w:t xml:space="preserve"> </w:t>
      </w:r>
      <w:r>
        <w:t xml:space="preserve">Australian Energy Market Operator (</w:t>
      </w:r>
      <w:hyperlink w:anchor="Xd5517a5b21f55ef4d6be4f7cb132ac0de4944a7">
        <w:r>
          <w:rPr>
            <w:rStyle w:val="Hyperlink"/>
          </w:rPr>
          <w:t xml:space="preserve">2023</w:t>
        </w:r>
      </w:hyperlink>
      <w:r>
        <w:t xml:space="preserve">)</w:t>
      </w:r>
      <w:r>
        <w:t xml:space="preserve">.</w:t>
      </w:r>
      <w:r>
        <w:br/>
      </w:r>
    </w:p>
    <w:p>
      <w:pPr>
        <w:pStyle w:val="BodyText"/>
      </w:pPr>
      <w:r>
        <w:t xml:space="preserve">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w:t>
      </w:r>
      <w:r>
        <w:t xml:space="preserve"> </w:t>
      </w:r>
      <w:r>
        <w:t xml:space="preserve">Machowski et al. (</w:t>
      </w:r>
      <w:hyperlink w:anchor="ref-machowskiPowerSystemDynamics2020">
        <w:r>
          <w:rPr>
            <w:rStyle w:val="Hyperlink"/>
          </w:rPr>
          <w:t xml:space="preserve">2020</w:t>
        </w:r>
      </w:hyperlink>
      <w:r>
        <w:t xml:space="preserve">)</w:t>
      </w:r>
      <w:r>
        <w:t xml:space="preserve"> </w:t>
      </w:r>
      <w:r>
        <w:t xml:space="preserve">and</w:t>
      </w:r>
      <w:r>
        <w:t xml:space="preserve"> </w:t>
      </w:r>
      <w:r>
        <w:t xml:space="preserve">Hatziargyriou et al. (</w:t>
      </w:r>
      <w:hyperlink w:anchor="X6fc8fc2150097dbc4c99befb6d30862eee70c57">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of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(a) A trace of power system frequency with corresponding frequency</w:t>
      </w:r>
      <w:r>
        <w:t xml:space="preserve"> </w:t>
      </w:r>
      <w:r>
        <w:t xml:space="preserve">control services following a loss-of-generation contingency event. (b)</w:t>
      </w:r>
      <w:r>
        <w:t xml:space="preserve"> </w:t>
      </w:r>
      <w:r>
        <w:t xml:space="preserve">The timeframes over which the various frequency control services are</w:t>
      </w:r>
      <w:r>
        <w:t xml:space="preserve"> </w:t>
      </w:r>
      <w:r>
        <w:t xml:space="preserve">provided. Source:</w:t>
      </w:r>
      <w:r>
        <w:t xml:space="preserve"> </w:t>
      </w:r>
      <w:r>
        <w:t xml:space="preserve">(</w:t>
      </w:r>
      <w:hyperlink w:anchor="ref-AustralianEnergyMarketOperator2020l">
        <w:r>
          <w:rPr>
            <w:rStyle w:val="Hyperlink"/>
            <w:bCs/>
            <w:b/>
          </w:rPr>
          <w:t xml:space="preserve">AustralianEnergyMarketOperator2020l?</w:t>
        </w:r>
      </w:hyperlink>
      <w:r>
        <w:t xml:space="preserve">)</w:t>
      </w:r>
      <w:r>
        <w:t xml:space="preserve">.</w:t>
      </w:r>
      <w:r>
        <w:br/>
      </w:r>
    </w:p>
    <w:p>
      <w:pPr>
        <w:pStyle w:val="BodyText"/>
      </w:pPr>
      <w:r>
        <w:t xml:space="preserve">5. Behaviour of a synchronous generator with a turbine governor providing</w:t>
      </w:r>
      <w:r>
        <w:t xml:space="preserve"> </w:t>
      </w:r>
      <w:r>
        <w:t xml:space="preserve">PFC and responding to SFC.</w:t>
      </w:r>
      <w:r>
        <w:t xml:space="preserve"> </w:t>
      </w:r>
      <m:oMath>
        <m:sSub>
          <m:e>
            <m:r>
              <m:t>L</m:t>
            </m:r>
          </m:e>
          <m:sub>
            <m:r>
              <m:t>0</m:t>
            </m:r>
          </m:sub>
        </m:sSub>
      </m:oMath>
      <w:r>
        <w:t xml:space="preserve"> </w:t>
      </w:r>
      <w:r>
        <w:t xml:space="preserve">is the initial droop characteristic.</w:t>
      </w:r>
      <w:r>
        <w:t xml:space="preserve"> </w:t>
      </w:r>
      <w:r>
        <w:t xml:space="preserve">The generator is initially operating at point A with an active power</w:t>
      </w:r>
      <w:r>
        <w:t xml:space="preserve"> </w:t>
      </w:r>
      <w:r>
        <w:t xml:space="preserve">output of</w:t>
      </w:r>
      <w:r>
        <w:t xml:space="preserve"> </w:t>
      </w:r>
      <m:oMath>
        <m:sSub>
          <m:e>
            <m:r>
              <m:t>P</m:t>
            </m:r>
          </m:e>
          <m:sub>
            <m:r>
              <m:t>M</m:t>
            </m:r>
            <m:r>
              <m:t>0</m:t>
            </m:r>
          </m:sub>
        </m:sSub>
      </m:oMath>
      <w:r>
        <w:t xml:space="preserve">. System frequency (and hence the synchronous sped of</w:t>
      </w:r>
      <w:r>
        <w:t xml:space="preserve"> </w:t>
      </w:r>
      <w:r>
        <w:t xml:space="preserve">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w:t>
      </w:r>
      <w:r>
        <w:t xml:space="preserve">and the turbine</w:t>
      </w:r>
      <w:r>
        <w:t xml:space="preserve"> </w:t>
      </w:r>
      <w:r>
        <w:t xml:space="preserve">governor responds by moving the turbine along the droop characteristic</w:t>
      </w:r>
      <w:r>
        <w:t xml:space="preserve"> </w:t>
      </w:r>
      <w:r>
        <w:t xml:space="preserve">to point B, thus increasing its active power output to</w:t>
      </w:r>
      <w:r>
        <w:t xml:space="preserve"> </w:t>
      </w:r>
      <m:oMath>
        <m:sSub>
          <m:e>
            <m:r>
              <m:t>P</m:t>
            </m:r>
          </m:e>
          <m:sub>
            <m:r>
              <m:t>M</m:t>
            </m:r>
            <m:r>
              <m:t>1</m:t>
            </m:r>
          </m:sub>
        </m:sSub>
      </m:oMath>
      <w:r>
        <w:t xml:space="preserve">.</w:t>
      </w:r>
      <w:r>
        <w:t xml:space="preserve"> </w:t>
      </w:r>
      <w:r>
        <w:t xml:space="preserve">Following this, SFC changes the reference speed setpoint of the</w:t>
      </w:r>
      <w:r>
        <w:t xml:space="preserve"> </w:t>
      </w:r>
      <w:r>
        <w:t xml:space="preserve">governor, moving the droop characteristic to</w:t>
      </w:r>
      <w:r>
        <w:t xml:space="preserve"> </w:t>
      </w:r>
      <m:oMath>
        <m:sSub>
          <m:e>
            <m:r>
              <m:t>L</m:t>
            </m:r>
          </m:e>
          <m:sub>
            <m:r>
              <m:t>1</m:t>
            </m:r>
          </m:sub>
        </m:sSub>
      </m:oMath>
      <w:r>
        <w:t xml:space="preserve"> </w:t>
      </w:r>
      <w:r>
        <w:t xml:space="preserve">and returning the</w:t>
      </w:r>
      <w:r>
        <w:t xml:space="preserve"> </w:t>
      </w:r>
      <w:r>
        <w:t xml:space="preserve">system to frequency</w:t>
      </w:r>
      <w:r>
        <w:t xml:space="preserve"> </w:t>
      </w:r>
      <m:oMath>
        <m:sSub>
          <m:e>
            <m:r>
              <m:t>ω</m:t>
            </m:r>
          </m:e>
          <m:sub>
            <m:r>
              <m:t>0</m:t>
            </m:r>
          </m:sub>
        </m:sSub>
      </m:oMath>
      <w:r>
        <w:t xml:space="preserve">. Source:</w:t>
      </w:r>
      <w:r>
        <w:t xml:space="preserve"> </w:t>
      </w:r>
      <w:r>
        <w:t xml:space="preserve">(</w:t>
      </w:r>
      <w:hyperlink w:anchor="ref-Wang2003">
        <w:r>
          <w:rPr>
            <w:rStyle w:val="Hyperlink"/>
            <w:bCs/>
            <w:b/>
          </w:rPr>
          <w:t xml:space="preserve">Wang2003?</w:t>
        </w:r>
      </w:hyperlink>
      <w:r>
        <w:t xml:space="preserve">)</w:t>
      </w:r>
      <w:r>
        <w:t xml:space="preserve">.</w:t>
      </w:r>
      <w:r>
        <w:br/>
      </w:r>
    </w:p>
    <w:p>
      <w:pPr>
        <w:pStyle w:val="BodyText"/>
      </w:pPr>
      <w:r>
        <w:t xml:space="preserve">6. A diagrammatic depiction of the complexity involved in designing power</w:t>
      </w:r>
      <w:r>
        <w:t xml:space="preserve"> </w:t>
      </w:r>
      <w:r>
        <w:t xml:space="preserve">system frequency control</w:t>
      </w:r>
      <w:r>
        <w:t xml:space="preserve"> </w:t>
      </w:r>
      <w:r>
        <w:t xml:space="preserve">arrangements.</w:t>
      </w:r>
      <w:r>
        <w:br/>
      </w:r>
    </w:p>
    <w:p>
      <w:pPr>
        <w:pStyle w:val="BodyText"/>
      </w:pPr>
      <w:r>
        <w:t xml:space="preserve">7. Interfaces between the frequency control capability and the mechanisms</w:t>
      </w:r>
      <w:r>
        <w:t xml:space="preserve"> </w:t>
      </w:r>
      <w:r>
        <w:t xml:space="preserve">within the frequency control strategy of a power</w:t>
      </w:r>
      <w:r>
        <w:t xml:space="preserve"> </w:t>
      </w:r>
      <w:r>
        <w:t xml:space="preserve">system.</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Ramp rates observed (red) and used in dispatch by AEMO (blue) for a coal-fired unit in NSW in 2020. The green line denotes the ramp rate assumed by AEMO in its 2020 Inputs and Assumptions workbook and the 2020 ISP.</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bookmarkStart w:id="24" w:name="abbreviations-and-nomenclature"/>
    <w:p>
      <w:pPr>
        <w:pStyle w:val="Heading1"/>
      </w:pPr>
      <w:r>
        <w:t xml:space="preserve">Abbreviations and Nomenclature</w:t>
      </w:r>
    </w:p>
    <w:bookmarkEnd w:id="24"/>
    <w:bookmarkStart w:id="27" w:name="sec:intro"/>
    <w:p>
      <w:pPr>
        <w:pStyle w:val="Heading1"/>
      </w:pPr>
      <w:r>
        <w:rPr>
          <w:rStyle w:val="SectionNumber"/>
        </w:rPr>
        <w:t xml:space="preserve">3</w:t>
      </w:r>
      <w:r>
        <w:tab/>
      </w:r>
      <w:r>
        <w:t xml:space="preserve">Introduction, with a citation</w:t>
      </w:r>
    </w:p>
    <w:bookmarkStart w:id="25"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5"/>
    <w:bookmarkStart w:id="26"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Section 1, shows how to use citations and how to reference section headers. Section 2 shows how use and reference equations. Section 4 is the FCAS paper. Section </w:t>
      </w:r>
      <w:r>
        <w:rPr>
          <w:bCs/>
          <w:b/>
        </w:rPr>
        <w:t xml:space="preserve">¿sec:second?</w:t>
      </w:r>
      <w:r>
        <w:t xml:space="preserve"> </w:t>
      </w:r>
      <w:r>
        <w:t xml:space="preserve">shows how to use, reference, and resize pdf and jpg figures. Section 5 shows how to use and reference tables. Section 6 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w:t>
      </w:r>
    </w:p>
    <w:bookmarkEnd w:id="26"/>
    <w:bookmarkEnd w:id="27"/>
    <w:bookmarkStart w:id="120" w:name="sec:lit_review"/>
    <w:p>
      <w:pPr>
        <w:pStyle w:val="Heading1"/>
      </w:pPr>
      <w:r>
        <w:rPr>
          <w:rStyle w:val="SectionNumber"/>
        </w:rPr>
        <w:t xml:space="preserve">4</w:t>
      </w:r>
      <w:r>
        <w:tab/>
      </w:r>
      <w:r>
        <w:t xml:space="preserve">Literature review</w:t>
      </w:r>
    </w:p>
    <w:bookmarkStart w:id="28" w:name="introduction"/>
    <w:p>
      <w:pPr>
        <w:pStyle w:val="Heading2"/>
      </w:pPr>
      <w:r>
        <w:rPr>
          <w:rStyle w:val="SectionNumber"/>
        </w:rPr>
        <w:t xml:space="preserve">4.1</w:t>
      </w:r>
      <w:r>
        <w:tab/>
      </w:r>
      <w:r>
        <w:t xml:space="preserve">Introduction</w:t>
      </w:r>
    </w:p>
    <w:bookmarkEnd w:id="28"/>
    <w:bookmarkStart w:id="29" w:name="outline-of-literature-review"/>
    <w:p>
      <w:pPr>
        <w:pStyle w:val="Heading2"/>
      </w:pPr>
      <w:r>
        <w:rPr>
          <w:rStyle w:val="SectionNumber"/>
        </w:rPr>
        <w:t xml:space="preserve">4.2</w:t>
      </w:r>
      <w:r>
        <w:tab/>
      </w:r>
      <w:r>
        <w:t xml:space="preserve">Outline of literature review</w:t>
      </w:r>
    </w:p>
    <w:bookmarkEnd w:id="29"/>
    <w:bookmarkStart w:id="34" w:name="sec:lit_review-power_systems"/>
    <w:p>
      <w:pPr>
        <w:pStyle w:val="Heading2"/>
      </w:pPr>
      <w:r>
        <w:rPr>
          <w:rStyle w:val="SectionNumber"/>
        </w:rPr>
        <w:t xml:space="preserve">4.3</w:t>
      </w:r>
      <w:r>
        <w:tab/>
      </w:r>
      <w:r>
        <w:t xml:space="preserve">Power systems</w:t>
      </w:r>
    </w:p>
    <w:p>
      <w:pPr>
        <w:pStyle w:val="FirstParagraph"/>
      </w:pPr>
      <w:r>
        <w:t xml:space="preserve">Given the welfare and economic benefits associated with electricity access, many 20</w:t>
      </w:r>
      <w:r>
        <w:rPr>
          <w:vertAlign w:val="superscript"/>
        </w:rPr>
        <w:t xml:space="preserve">th</w:t>
      </w:r>
      <w:r>
        <w:t xml:space="preserve"> </w:t>
      </w:r>
      <w:r>
        <w:t xml:space="preserve">century states constructed large bulk</w:t>
      </w:r>
      <w:r>
        <w:t xml:space="preserve"> </w:t>
      </w:r>
      <w:r>
        <w:rPr>
          <w:iCs/>
          <w:i/>
        </w:rPr>
        <w:t xml:space="preserve">power systems</w:t>
      </w:r>
      <w:r>
        <w:t xml:space="preserve"> </w:t>
      </w:r>
      <w:r>
        <w:t xml:space="preserve">to leverage investment &amp; operational economies of scale. These systems sought to efficiently deliver active power (i.e. power that does work) to numerous electricity end-users (</w:t>
      </w:r>
      <w:r>
        <w:rPr>
          <w:iCs/>
          <w:i/>
        </w:rPr>
        <w:t xml:space="preserve">demand</w:t>
      </w:r>
      <w:r>
        <w:t xml:space="preserve"> </w:t>
      </w:r>
      <w:r>
        <w:t xml:space="preserve">or</w:t>
      </w:r>
      <w:r>
        <w:t xml:space="preserve"> </w:t>
      </w:r>
      <w:r>
        <w:rPr>
          <w:iCs/>
          <w:i/>
        </w:rPr>
        <w:t xml:space="preserve">loads</w:t>
      </w:r>
      <w:r>
        <w:t xml:space="preserve">) from electricity suppliers (</w:t>
      </w:r>
      <w:r>
        <w:t xml:space="preserve"> </w:t>
      </w:r>
      <w:r>
        <w:rPr>
          <w:iCs/>
          <w:i/>
        </w:rPr>
        <w:t xml:space="preserve">generators</w:t>
      </w:r>
      <w:r>
        <w:t xml:space="preserve">) across vast distances. A typical power system configuration is presented in Figure 1. Generators supply the system with alternating current (AC) power either through a direct electromagnetic connection or through a power inverter interface (which converts the direct current, or DC, produced by the generator to AC). AC power is then efficiently transmitted over long distances through a high voltage</w:t>
      </w:r>
      <w:r>
        <w:t xml:space="preserve"> </w:t>
      </w:r>
      <w:r>
        <w:rPr>
          <w:iCs/>
          <w:i/>
        </w:rPr>
        <w:t xml:space="preserve">transmission</w:t>
      </w:r>
      <w:r>
        <w:t xml:space="preserve"> </w:t>
      </w:r>
      <w:r>
        <w:t xml:space="preserve">system. As transmission lines approach load centres, voltages are stepped down to make power delivery to the houses and businesses connected to the lower voltage</w:t>
      </w:r>
      <w:r>
        <w:t xml:space="preserve"> </w:t>
      </w:r>
      <w:r>
        <w:rPr>
          <w:iCs/>
          <w:i/>
        </w:rPr>
        <w:t xml:space="preserve">distribution system</w:t>
      </w:r>
      <w:r>
        <w:t xml:space="preserve"> </w:t>
      </w:r>
      <w:r>
        <w:t xml:space="preserve">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Conventional bulk power system, including generation, transmission, distribution and industrial, commercial and residential end-users (loads). Source: Australian Energy Market Operator (2023)." title="" id="31" name="Picture"/>
            <a:graphic>
              <a:graphicData uri="http://schemas.openxmlformats.org/drawingml/2006/picture">
                <pic:pic>
                  <pic:nvPicPr>
                    <pic:cNvPr descr="source/figures/electricity_supply_chain.pdf" id="32" name="Picture"/>
                    <pic:cNvPicPr>
                      <a:picLocks noChangeArrowheads="1" noChangeAspect="1"/>
                    </pic:cNvPicPr>
                  </pic:nvPicPr>
                  <pic:blipFill>
                    <a:blip r:embed="rId30"/>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Conventional bulk power system, including generation, transmission, distribution and industrial, commercial and residential end-users (loads). Source:</w:t>
      </w:r>
      <w:r>
        <w:t xml:space="preserve"> </w:t>
      </w:r>
      <w:r>
        <w:t xml:space="preserve">Australian Energy Market Operator (</w:t>
      </w:r>
      <w:hyperlink w:anchor="Xd5517a5b21f55ef4d6be4f7cb132ac0de4944a7">
        <w:r>
          <w:rPr>
            <w:rStyle w:val="Hyperlink"/>
          </w:rPr>
          <w:t xml:space="preserve">2023</w:t>
        </w:r>
      </w:hyperlink>
      <w:r>
        <w:t xml:space="preserve">)</w:t>
      </w:r>
      <w:r>
        <w:t xml:space="preserve">.</w:t>
      </w:r>
    </w:p>
    <w:bookmarkStart w:id="33" w:name="synchronous-and-control-areas"/>
    <w:p>
      <w:pPr>
        <w:pStyle w:val="Heading3"/>
      </w:pPr>
      <w:r>
        <w:rPr>
          <w:rStyle w:val="SectionNumber"/>
        </w:rPr>
        <w:t xml:space="preserve">4.3.1</w:t>
      </w:r>
      <w:r>
        <w:tab/>
      </w:r>
      <w:r>
        <w:t xml:space="preserve">Synchronous and control areas</w:t>
      </w:r>
    </w:p>
    <w:p>
      <w:pPr>
        <w:pStyle w:val="FirstParagraph"/>
      </w:pPr>
      <w:r>
        <w:t xml:space="preserve">A network area that is operated at a (constant) nominal AC frequency is known as a</w:t>
      </w:r>
      <w:r>
        <w:t xml:space="preserve"> </w:t>
      </w:r>
      <w:r>
        <w:rPr>
          <w:iCs/>
          <w:i/>
        </w:rPr>
        <w:t xml:space="preserve">synchronous area</w:t>
      </w:r>
      <w:r>
        <w:t xml:space="preserve">. During stable operation, AC frequency should be close to the system’s nominal value and more-or-less uniform across the synchronous area. A</w:t>
      </w:r>
      <w:r>
        <w:t xml:space="preserve"> </w:t>
      </w:r>
      <w:r>
        <w:rPr>
          <w:iCs/>
          <w:i/>
        </w:rPr>
        <w:t xml:space="preserve">control area</w:t>
      </w:r>
      <w:r>
        <w:t xml:space="preserve">, on the other hand, is a network area in which a</w:t>
      </w:r>
      <w:r>
        <w:t xml:space="preserve"> </w:t>
      </w:r>
      <w:r>
        <w:rPr>
          <w:iCs/>
          <w:i/>
        </w:rPr>
        <w:t xml:space="preserve">system operator</w:t>
      </w:r>
      <w:r>
        <w:t xml:space="preserve"> </w:t>
      </w:r>
      <w:r>
        <w:t xml:space="preserve">(SO) is responsible for maintaining a balance between supply and demand for electrical power. Whether the term</w:t>
      </w:r>
      <w:r>
        <w:t xml:space="preserve"> </w:t>
      </w:r>
      <w:r>
        <w:t xml:space="preserve">“</w:t>
      </w:r>
      <w:r>
        <w:t xml:space="preserve">power system</w:t>
      </w:r>
      <w:r>
        <w:t xml:space="preserve">”</w:t>
      </w:r>
      <w:r>
        <w:t xml:space="preserve"> </w:t>
      </w:r>
      <w:r>
        <w:t xml:space="preserve">refers to a synchronous area or a control area is often dependent on context — in particular,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p>
    <w:bookmarkEnd w:id="33"/>
    <w:bookmarkEnd w:id="34"/>
    <w:bookmarkStart w:id="49" w:name="power-system-operations"/>
    <w:p>
      <w:pPr>
        <w:pStyle w:val="Heading2"/>
      </w:pPr>
      <w:r>
        <w:rPr>
          <w:rStyle w:val="SectionNumber"/>
        </w:rPr>
        <w:t xml:space="preserve">4.4</w:t>
      </w:r>
      <w:r>
        <w:tab/>
      </w:r>
      <w:r>
        <w:t xml:space="preserve">Power system operations</w:t>
      </w:r>
    </w:p>
    <w:p>
      <w:pPr>
        <w:pStyle w:val="FirstParagraph"/>
      </w:pPr>
      <w:r>
        <w:t xml:space="preserve">In broad terms,</w:t>
      </w:r>
      <w:r>
        <w:t xml:space="preserve"> </w:t>
      </w:r>
      <w:r>
        <w:rPr>
          <w:iCs/>
          <w:i/>
        </w:rPr>
        <w:t xml:space="preserve">operating</w:t>
      </w:r>
      <w:r>
        <w:t xml:space="preserve"> </w:t>
      </w:r>
      <w:r>
        <w:t xml:space="preserve">a power system involves the direction or control of</w:t>
      </w:r>
      <w:r>
        <w:t xml:space="preserve"> </w:t>
      </w:r>
      <w:r>
        <w:rPr>
          <w:iCs/>
          <w:i/>
        </w:rPr>
        <w:t xml:space="preserve">power system resources</w:t>
      </w:r>
      <w:r>
        <w:t xml:space="preserve"> </w:t>
      </w:r>
      <w:r>
        <w:t xml:space="preserve">— generators, loads, network elements and energy storage resources (which can act as both a generator and a load). In practice, however, power system operation is inseparable from the economic objective imposed upon SOs: minimise system costs (or under some market paradigms described in Section 2.4.2, maximise the value of trade) whilst 1) continuously maintaining a balance between active power supply &amp; demand and 2) ensuring that system resources &amp;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latter constraint implies</w:t>
      </w:r>
      <w:r>
        <w:t xml:space="preserve"> </w:t>
      </w:r>
      <w:r>
        <w:rPr>
          <w:iCs/>
          <w:i/>
        </w:rPr>
        <w:t xml:space="preserve">stable</w:t>
      </w:r>
      <w:r>
        <w:t xml:space="preserve"> </w:t>
      </w:r>
      <w:r>
        <w:t xml:space="preserve">&amp;</w:t>
      </w:r>
      <w:r>
        <w:t xml:space="preserve"> </w:t>
      </w:r>
      <w:r>
        <w:rPr>
          <w:iCs/>
          <w:i/>
        </w:rPr>
        <w:t xml:space="preserve">secure</w:t>
      </w:r>
      <w:r>
        <w:t xml:space="preserve"> </w:t>
      </w:r>
      <w:r>
        <w:t xml:space="preserve">operation and is a prerequisite for the former constraint, which more-or-less corresponds to</w:t>
      </w:r>
      <w:r>
        <w:t xml:space="preserve"> </w:t>
      </w:r>
      <w:r>
        <w:rPr>
          <w:iCs/>
          <w:i/>
        </w:rPr>
        <w:t xml:space="preserve">reliable</w:t>
      </w:r>
      <w:r>
        <w:t xml:space="preserve"> </w:t>
      </w:r>
      <w:r>
        <w:t xml:space="preserve">operation</w:t>
      </w:r>
      <w:r>
        <w:rPr>
          <w:rStyle w:val="FootnoteReference"/>
        </w:rPr>
        <w:footnoteReference w:id="35"/>
      </w:r>
      <w:r>
        <w:t xml:space="preserve">.</w:t>
      </w:r>
    </w:p>
    <w:p>
      <w:pPr>
        <w:pStyle w:val="BodyText"/>
      </w:pPr>
      <w:r>
        <w:t xml:space="preserve">Noting that planning &amp; investment have a large bearing on the manner in which a power system is operated (and vice versa), Figure 2 presents a high-level overview of power system phenomena and processes, services &amp; markets that are most pertinent to active power balancing in operational timeframes, with those discussed in detail within this thesis highlighted in bold red text.</w:t>
      </w:r>
    </w:p>
    <w:p>
      <w:pPr>
        <w:pStyle w:val="CaptionedFigure"/>
      </w:pPr>
      <w:r>
        <w:drawing>
          <wp:inline>
            <wp:extent cx="3810000" cy="2540000"/>
            <wp:effectExtent b="0" l="0" r="0" t="0"/>
            <wp:docPr descr="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 Machowski et al. (2020) and Hatziargyriou et al. (2021). The figure concept and layout was inspired by a similar figure presented in Wilson (2020)." title="" id="37" name="Picture"/>
            <a:graphic>
              <a:graphicData uri="http://schemas.openxmlformats.org/drawingml/2006/picture">
                <pic:pic>
                  <pic:nvPicPr>
                    <pic:cNvPr descr="source/figures/power_system_timeframes.pdf" id="38"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w:t>
      </w:r>
      <w:r>
        <w:t xml:space="preserve"> </w:t>
      </w:r>
      <w:r>
        <w:t xml:space="preserve">Machowski et al. (</w:t>
      </w:r>
      <w:hyperlink w:anchor="ref-machowskiPowerSystemDynamics2020">
        <w:r>
          <w:rPr>
            <w:rStyle w:val="Hyperlink"/>
          </w:rPr>
          <w:t xml:space="preserve">2020</w:t>
        </w:r>
      </w:hyperlink>
      <w:r>
        <w:t xml:space="preserve">)</w:t>
      </w:r>
      <w:r>
        <w:t xml:space="preserve"> </w:t>
      </w:r>
      <w:r>
        <w:t xml:space="preserve">and</w:t>
      </w:r>
      <w:r>
        <w:t xml:space="preserve"> </w:t>
      </w:r>
      <w:r>
        <w:t xml:space="preserve">Hatziargyriou et al. (</w:t>
      </w:r>
      <w:hyperlink w:anchor="X6fc8fc2150097dbc4c99befb6d30862eee70c57">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39" w:name="phenomena-in-operational-timeframes"/>
    <w:p>
      <w:pPr>
        <w:pStyle w:val="Heading3"/>
      </w:pPr>
      <w:r>
        <w:rPr>
          <w:rStyle w:val="SectionNumber"/>
        </w:rPr>
        <w:t xml:space="preserve">4.4.1</w:t>
      </w:r>
      <w:r>
        <w:tab/>
      </w:r>
      <w:r>
        <w:t xml:space="preserve">Phenomena in operational timeframes</w:t>
      </w:r>
    </w:p>
    <w:p>
      <w:pPr>
        <w:pStyle w:val="FirstParagraph"/>
      </w:pPr>
      <w:r>
        <w:t xml:space="preserve">As shown in Figure 2, power system operations is concerned with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iCs/>
          <w:i/>
        </w:rPr>
        <w:t xml:space="preserve">synchronous machines</w:t>
      </w:r>
      <w:r>
        <w:t xml:space="preserve"> </w:t>
      </w:r>
      <w:r>
        <w:t xml:space="preserve">(generators and motors that rotate at a speed proportional to AC frequency) and between power system resources. They occur on the timescale of milliseconds to seconds. Controls for</w:t>
      </w:r>
      <w:r>
        <w:t xml:space="preserve"> </w:t>
      </w:r>
      <w:r>
        <w:rPr>
          <w:iCs/>
          <w:i/>
        </w:rPr>
        <w:t xml:space="preserve">inverter-based resources</w:t>
      </w:r>
      <w:r>
        <w:t xml:space="preserve">, which have a power electronic inverter interface to the wider power system, also operate in this timeframe.</w:t>
      </w:r>
    </w:p>
    <w:p>
      <w:pPr>
        <w:numPr>
          <w:ilvl w:val="0"/>
          <w:numId w:val="1002"/>
        </w:numPr>
      </w:pPr>
      <w:r>
        <w:rPr>
          <w:iCs/>
          <w:i/>
        </w:rPr>
        <w:t xml:space="preserve">Electromechanical</w:t>
      </w:r>
      <w:r>
        <w:t xml:space="preserve"> </w:t>
      </w:r>
      <w:r>
        <w:t xml:space="preserve">phenomena are slower (seconds to minutes timescale) and arise as a result of electromagnetic fields interacting with rotating masses and mechanical forces. These typically occur in motors and generators.</w:t>
      </w:r>
    </w:p>
    <w:p>
      <w:pPr>
        <w:numPr>
          <w:ilvl w:val="0"/>
          <w:numId w:val="1002"/>
        </w:numPr>
      </w:pPr>
      <w:r>
        <w:rPr>
          <w:iCs/>
          <w:i/>
        </w:rPr>
        <w:t xml:space="preserve">Thermodynamic</w:t>
      </w:r>
      <w:r>
        <w:t xml:space="preserve"> </w:t>
      </w:r>
      <w:r>
        <w:t xml:space="preserve">phenomena are slower still. They encompass chemical fuel conversion &amp; heat transfer processes in boilers. These phenomena occur over multiple timeframes, from seconds to minutes to hours. I will also extend this category to include the dynamic behaviour of the primary energy sources for hydroelectricity and</w:t>
      </w:r>
      <w:r>
        <w:t xml:space="preserve"> </w:t>
      </w:r>
      <w:r>
        <w:rPr>
          <w:iCs/>
          <w:i/>
        </w:rPr>
        <w:t xml:space="preserve">variable renewable energy</w:t>
      </w:r>
      <w:r>
        <w:t xml:space="preserve"> </w:t>
      </w:r>
      <w:r>
        <w:t xml:space="preserve">(VRE), which primarily refers to wind and solar photovoltaic (PV) generation.</w:t>
      </w:r>
    </w:p>
    <w:bookmarkEnd w:id="39"/>
    <w:bookmarkStart w:id="48" w:name="sec:lit_review-operational_paradigms"/>
    <w:p>
      <w:pPr>
        <w:pStyle w:val="Heading3"/>
      </w:pPr>
      <w:r>
        <w:rPr>
          <w:rStyle w:val="SectionNumber"/>
        </w:rPr>
        <w:t xml:space="preserve">4.4.2</w:t>
      </w:r>
      <w:r>
        <w:tab/>
      </w:r>
      <w:r>
        <w:t xml:space="preserve">Operational paradigms</w:t>
      </w:r>
    </w:p>
    <w:p>
      <w:pPr>
        <w:pStyle w:val="FirstParagraph"/>
      </w:pPr>
      <w:r>
        <w:t xml:space="preserve">Synchronous areas can be subdivided into</w:t>
      </w:r>
      <w:r>
        <w:t xml:space="preserve"> </w:t>
      </w:r>
      <w:r>
        <w:rPr>
          <w:iCs/>
          <w:i/>
        </w:rPr>
        <w:t xml:space="preserve">control areas</w:t>
      </w:r>
      <w:r>
        <w:t xml:space="preserve">, which are typically demarcated by the network boundaries of separate electric utilities or electricity markets</w:t>
      </w:r>
      <w:r>
        <w:t xml:space="preserve"> </w:t>
      </w:r>
      <w:r>
        <w:t xml:space="preserve">(</w:t>
      </w:r>
      <w:hyperlink w:anchor="ref-Grainger1994">
        <w:r>
          <w:rPr>
            <w:rStyle w:val="Hyperlink"/>
            <w:bCs/>
            <w:b/>
          </w:rPr>
          <w:t xml:space="preserve">Grainger1994?</w:t>
        </w:r>
      </w:hyperlink>
      <w:r>
        <w:t xml:space="preserve">;</w:t>
      </w:r>
      <w:r>
        <w:t xml:space="preserve"> </w:t>
      </w:r>
      <w:hyperlink w:anchor="ref-Elgerd1971">
        <w:r>
          <w:rPr>
            <w:rStyle w:val="Hyperlink"/>
            <w:bCs/>
            <w:b/>
          </w:rPr>
          <w:t xml:space="preserve">Elgerd1971?</w:t>
        </w:r>
      </w:hyperlink>
      <w:r>
        <w:t xml:space="preserve">)</w:t>
      </w:r>
      <w:r>
        <w:t xml:space="preserve">. Within a control area, the control of AC frequency is the responsibility of a system operator.</w:t>
      </w:r>
    </w:p>
    <w:bookmarkStart w:id="40" w:name="vertically-integrated"/>
    <w:p>
      <w:pPr>
        <w:pStyle w:val="Heading4"/>
      </w:pPr>
      <w:r>
        <w:rPr>
          <w:rStyle w:val="SectionNumber"/>
        </w:rPr>
        <w:t xml:space="preserve">4.4.2.1</w:t>
      </w:r>
      <w:r>
        <w:tab/>
      </w:r>
      <w:r>
        <w:t xml:space="preserve">Vertically-integrated</w:t>
      </w:r>
    </w:p>
    <w:p>
      <w:pPr>
        <w:pStyle w:val="FirstParagraph"/>
      </w:pPr>
      <w:r>
        <w:t xml:space="preserve">Historically, this configuration enabled economies of scale in both</w:t>
      </w:r>
      <w:r>
        <w:t xml:space="preserve"> </w:t>
      </w:r>
      <w:r>
        <w:t xml:space="preserve">asset investment and operation to be achieved by electric utilities,</w:t>
      </w:r>
      <w:r>
        <w:t xml:space="preserve"> </w:t>
      </w:r>
      <w:r>
        <w:t xml:space="preserve">particularly regulated monopolies that owned and operated most, if not</w:t>
      </w:r>
      <w:r>
        <w:t xml:space="preserve"> </w:t>
      </w:r>
      <w:r>
        <w:t xml:space="preserve">all, of the generation, transmission and distribution infrastructure</w:t>
      </w:r>
      <w:r>
        <w:t xml:space="preserve"> </w:t>
      </w:r>
      <w:r>
        <w:t xml:space="preserve">within a power system and were responsible for the retail of electricity</w:t>
      </w:r>
      <w:r>
        <w:t xml:space="preserve"> </w:t>
      </w:r>
      <w:r>
        <w:t xml:space="preserve">to the end-user (these regulated monopolies are known as</w:t>
      </w:r>
      <w:r>
        <w:t xml:space="preserve"> </w:t>
      </w:r>
      <w:r>
        <w:t xml:space="preserve">vertically-integrated utilities)</w:t>
      </w:r>
      <w:r>
        <w:t xml:space="preserve"> </w:t>
      </w:r>
      <w:r>
        <w:t xml:space="preserve">(</w:t>
      </w:r>
      <w:hyperlink w:anchor="ref-Masters2004">
        <w:r>
          <w:rPr>
            <w:rStyle w:val="Hyperlink"/>
            <w:bCs/>
            <w:b/>
          </w:rPr>
          <w:t xml:space="preserve">Masters2004?</w:t>
        </w:r>
      </w:hyperlink>
      <w:r>
        <w:t xml:space="preserve">)</w:t>
      </w:r>
      <w:r>
        <w:t xml:space="preserve">.</w:t>
      </w:r>
    </w:p>
    <w:bookmarkEnd w:id="40"/>
    <w:bookmarkStart w:id="47" w:name="Xbc3c8bab57c0e839e4e13856b5bb06b0f7ef72f"/>
    <w:p>
      <w:pPr>
        <w:pStyle w:val="Heading4"/>
      </w:pPr>
      <w:r>
        <w:rPr>
          <w:rStyle w:val="SectionNumber"/>
        </w:rPr>
        <w:t xml:space="preserve">4.4.2.2</w:t>
      </w:r>
      <w:r>
        <w:tab/>
      </w:r>
      <w:r>
        <w:t xml:space="preserve">Restructuring and the emergence of wholesale electricity markets</w:t>
      </w:r>
    </w:p>
    <w:p>
      <w:pPr>
        <w:pStyle w:val="FirstParagraph"/>
      </w:pPr>
      <w:r>
        <w:t xml:space="preserve">In mandatory pool markets, the system operator commits and dispatches</w:t>
      </w:r>
      <w:r>
        <w:t xml:space="preserve"> </w:t>
      </w:r>
      <w:r>
        <w:t xml:space="preserve">individual generators (and, in some cases, loads) in the day-ahead and</w:t>
      </w:r>
      <w:r>
        <w:t xml:space="preserve"> </w:t>
      </w:r>
      <w:r>
        <w:t xml:space="preserve">real-time markets, respectively, based on economic optimisation</w:t>
      </w:r>
      <w:r>
        <w:t xml:space="preserve"> </w:t>
      </w:r>
      <w:r>
        <w:t xml:space="preserve">processes that incorporate transmission constraints and stability and</w:t>
      </w:r>
      <w:r>
        <w:t xml:space="preserve"> </w:t>
      </w:r>
      <w:r>
        <w:t xml:space="preserve">reliability requirements. These processes are</w:t>
      </w:r>
      <w:r>
        <w:t xml:space="preserve"> </w:t>
      </w:r>
      <w:r>
        <w:rPr>
          <w:iCs/>
          <w:i/>
        </w:rPr>
        <w:t xml:space="preserve">security-constrained unit</w:t>
      </w:r>
      <w:r>
        <w:rPr>
          <w:iCs/>
          <w:i/>
        </w:rPr>
        <w:t xml:space="preserve"> </w:t>
      </w:r>
      <w:r>
        <w:rPr>
          <w:iCs/>
          <w:i/>
        </w:rPr>
        <w:t xml:space="preserve">commitment</w:t>
      </w:r>
      <w:r>
        <w:t xml:space="preserve"> </w:t>
      </w:r>
      <w:r>
        <w:t xml:space="preserve">(SCUC), which is executed in the day-ahead market, and</w:t>
      </w:r>
      <w:r>
        <w:t xml:space="preserve"> </w:t>
      </w:r>
      <w:r>
        <w:rPr>
          <w:iCs/>
          <w:i/>
        </w:rPr>
        <w:t xml:space="preserve">security-constrained economic dispatch</w:t>
      </w:r>
      <w:r>
        <w:t xml:space="preserve"> </w:t>
      </w:r>
      <w:r>
        <w:t xml:space="preserve">(SCED), which is executed just</w:t>
      </w:r>
      <w:r>
        <w:t xml:space="preserve"> </w:t>
      </w:r>
      <w:r>
        <w:t xml:space="preserve">prior to the relevant real-time market interval. In many mandatory pool</w:t>
      </w:r>
      <w:r>
        <w:t xml:space="preserve"> </w:t>
      </w:r>
      <w:r>
        <w:t xml:space="preserve">markets, SCED and SCUC co-optimise the provision of energy and frequency</w:t>
      </w:r>
      <w:r>
        <w:t xml:space="preserve"> </w:t>
      </w:r>
      <w:r>
        <w:t xml:space="preserve">control services</w:t>
      </w:r>
    </w:p>
    <w:p>
      <w:pPr>
        <w:pStyle w:val="BodyText"/>
      </w:pPr>
      <w:r>
        <w:t xml:space="preserve">It should be noted that these processes are not exclusive to mandatory</w:t>
      </w:r>
      <w:r>
        <w:t xml:space="preserve"> </w:t>
      </w:r>
      <w:r>
        <w:t xml:space="preserve">pool markets and could be used by vertically-integrated utilities to</w:t>
      </w:r>
      <w:r>
        <w:t xml:space="preserve"> </w:t>
      </w:r>
      <w:r>
        <w:t xml:space="preserve">efficiently schedule resources in the power system</w:t>
      </w:r>
      <w:r>
        <w:t xml:space="preserve"> </w:t>
      </w:r>
      <w:r>
        <w:t xml:space="preserve">(</w:t>
      </w:r>
      <w:hyperlink w:anchor="ref-Grainger1994">
        <w:r>
          <w:rPr>
            <w:rStyle w:val="Hyperlink"/>
            <w:bCs/>
            <w:b/>
          </w:rPr>
          <w:t xml:space="preserve">Grainger1994?</w:t>
        </w:r>
      </w:hyperlink>
      <w:r>
        <w:t xml:space="preserve">)</w:t>
      </w:r>
      <w:r>
        <w:t xml:space="preserve">.</w:t>
      </w:r>
    </w:p>
    <w:bookmarkStart w:id="41" w:name="electricity-industry-restructuring"/>
    <w:p>
      <w:pPr>
        <w:pStyle w:val="Heading5"/>
      </w:pPr>
      <w:r>
        <w:rPr>
          <w:rStyle w:val="SectionNumber"/>
        </w:rPr>
        <w:t xml:space="preserve">4.4.2.2.1</w:t>
      </w:r>
      <w:r>
        <w:tab/>
      </w:r>
      <w:r>
        <w:t xml:space="preserve">Electricity industry restructuring</w:t>
      </w:r>
    </w:p>
    <w:p>
      <w:pPr>
        <w:pStyle w:val="FirstParagraph"/>
      </w:pPr>
      <w:r>
        <w:t xml:space="preserve">Beginning in the early 1990s, perceived inefficiencies and overspend by</w:t>
      </w:r>
      <w:r>
        <w:t xml:space="preserve"> </w:t>
      </w:r>
      <w:r>
        <w:t xml:space="preserve">monopoly electric utilities, advancements in small low-upfront cost gas</w:t>
      </w:r>
      <w:r>
        <w:t xml:space="preserve"> </w:t>
      </w:r>
      <w:r>
        <w:t xml:space="preserve">turbine technologies and the successful liberalisation of other</w:t>
      </w:r>
      <w:r>
        <w:t xml:space="preserve"> </w:t>
      </w:r>
      <w:r>
        <w:t xml:space="preserve">industries such as airlines and telecommunications prompted many</w:t>
      </w:r>
      <w:r>
        <w:t xml:space="preserve"> </w:t>
      </w:r>
      <w:r>
        <w:t xml:space="preserve">countries to restructure their electricity industries</w:t>
      </w:r>
      <w:r>
        <w:t xml:space="preserve"> </w:t>
      </w:r>
      <w:r>
        <w:t xml:space="preserve">(</w:t>
      </w:r>
      <w:hyperlink w:anchor="ref-Weigt2009">
        <w:r>
          <w:rPr>
            <w:rStyle w:val="Hyperlink"/>
            <w:bCs/>
            <w:b/>
          </w:rPr>
          <w:t xml:space="preserve">Weigt2009?</w:t>
        </w:r>
      </w:hyperlink>
      <w:r>
        <w:t xml:space="preserve">;</w:t>
      </w:r>
      <w:r>
        <w:t xml:space="preserve"> </w:t>
      </w:r>
      <w:hyperlink w:anchor="ref-Miller2017">
        <w:r>
          <w:rPr>
            <w:rStyle w:val="Hyperlink"/>
            <w:bCs/>
            <w:b/>
          </w:rPr>
          <w:t xml:space="preserve">Miller2017?</w:t>
        </w:r>
      </w:hyperlink>
      <w:r>
        <w:t xml:space="preserve">)</w:t>
      </w:r>
      <w:r>
        <w:t xml:space="preserve">. A common feature of this process across power</w:t>
      </w:r>
      <w:r>
        <w:t xml:space="preserve"> </w:t>
      </w:r>
      <w:r>
        <w:t xml:space="preserve">systems was the implementation of a wholesale market for electricity,</w:t>
      </w:r>
      <w:r>
        <w:t xml:space="preserve"> </w:t>
      </w:r>
      <w:r>
        <w:t xml:space="preserve">where generators compete for the opportunity to supply electricity and</w:t>
      </w:r>
      <w:r>
        <w:t xml:space="preserve"> </w:t>
      </w:r>
      <w:r>
        <w:t xml:space="preserve">earn revenue through an auction-based mechanism</w:t>
      </w:r>
      <w:r>
        <w:t xml:space="preserve"> </w:t>
      </w:r>
      <w:r>
        <w:t xml:space="preserve">(</w:t>
      </w:r>
      <w:hyperlink w:anchor="ref-Milligan2017">
        <w:r>
          <w:rPr>
            <w:rStyle w:val="Hyperlink"/>
            <w:bCs/>
            <w:b/>
          </w:rPr>
          <w:t xml:space="preserve">Milligan2017?</w:t>
        </w:r>
      </w:hyperlink>
      <w:r>
        <w:t xml:space="preserve">)</w:t>
      </w:r>
      <w:r>
        <w:t xml:space="preserve">.</w:t>
      </w:r>
    </w:p>
    <w:bookmarkEnd w:id="41"/>
    <w:bookmarkStart w:id="46" w:name="X942e54760044f83724f4314b196e0c4b67514bd"/>
    <w:p>
      <w:pPr>
        <w:pStyle w:val="Heading5"/>
      </w:pPr>
      <w:r>
        <w:rPr>
          <w:rStyle w:val="SectionNumber"/>
        </w:rPr>
        <w:t xml:space="preserve">4.4.2.2.2</w:t>
      </w:r>
      <w:r>
        <w:tab/>
      </w:r>
      <w:r>
        <w:t xml:space="preserve">Electricity market structures and features</w:t>
      </w:r>
    </w:p>
    <w:bookmarkStart w:id="42" w:name="system-operator"/>
    <w:p>
      <w:pPr>
        <w:pStyle w:val="Heading6"/>
      </w:pPr>
      <w:r>
        <w:rPr>
          <w:rStyle w:val="SectionNumber"/>
        </w:rPr>
        <w:t xml:space="preserve">4.4.2.2.2.1</w:t>
      </w:r>
      <w:r>
        <w:tab/>
      </w:r>
      <w:r>
        <w:t xml:space="preserve">System operator</w:t>
      </w:r>
    </w:p>
    <w:p>
      <w:pPr>
        <w:pStyle w:val="FirstParagraph"/>
      </w:pPr>
      <w:r>
        <w:t xml:space="preserve">In restructured electricity industries, the implementation of wholesale</w:t>
      </w:r>
      <w:r>
        <w:t xml:space="preserve"> </w:t>
      </w:r>
      <w:r>
        <w:t xml:space="preserve">markets was accompanied by the creation of an independent power system</w:t>
      </w:r>
      <w:r>
        <w:t xml:space="preserve"> </w:t>
      </w:r>
      <w:r>
        <w:t xml:space="preserve">operator to operate the transmission network, manage and administer the</w:t>
      </w:r>
      <w:r>
        <w:t xml:space="preserve"> </w:t>
      </w:r>
      <w:r>
        <w:t xml:space="preserve">electricity market, maintain short-term power system</w:t>
      </w:r>
      <w:r>
        <w:t xml:space="preserve"> </w:t>
      </w:r>
      <w:r>
        <w:rPr>
          <w:iCs/>
          <w:i/>
        </w:rPr>
        <w:t xml:space="preserve">reliability</w:t>
      </w:r>
      <w:r>
        <w:t xml:space="preserve"> </w:t>
      </w:r>
      <w:r>
        <w:t xml:space="preserve">(the</w:t>
      </w:r>
      <w:r>
        <w:t xml:space="preserve"> </w:t>
      </w:r>
      <w:r>
        <w:t xml:space="preserve">ability to meet demand with supply) and</w:t>
      </w:r>
      <w:r>
        <w:t xml:space="preserve"> </w:t>
      </w:r>
      <w:r>
        <w:rPr>
          <w:iCs/>
          <w:i/>
        </w:rPr>
        <w:t xml:space="preserve">security</w:t>
      </w:r>
      <w:r>
        <w:t xml:space="preserve"> </w:t>
      </w:r>
      <w:r>
        <w:t xml:space="preserve">(the ability to</w:t>
      </w:r>
      <w:r>
        <w:t xml:space="preserve"> </w:t>
      </w:r>
      <w:r>
        <w:t xml:space="preserve">operate the power system within a defined operating envelope), and carry</w:t>
      </w:r>
      <w:r>
        <w:t xml:space="preserve"> </w:t>
      </w:r>
      <w:r>
        <w:t xml:space="preserve">out longer term planning functions</w:t>
      </w:r>
      <w:r>
        <w:t xml:space="preserve"> </w:t>
      </w:r>
      <w:r>
        <w:t xml:space="preserve">(</w:t>
      </w:r>
      <w:hyperlink w:anchor="ref-Sioshansi2006">
        <w:r>
          <w:rPr>
            <w:rStyle w:val="Hyperlink"/>
            <w:bCs/>
            <w:b/>
          </w:rPr>
          <w:t xml:space="preserve">Sioshansi2006?</w:t>
        </w:r>
      </w:hyperlink>
      <w:r>
        <w:t xml:space="preserve">;</w:t>
      </w:r>
      <w:r>
        <w:t xml:space="preserve"> </w:t>
      </w:r>
      <w:hyperlink w:anchor="ref-Hogan2008">
        <w:r>
          <w:rPr>
            <w:rStyle w:val="Hyperlink"/>
            <w:bCs/>
            <w:b/>
          </w:rPr>
          <w:t xml:space="preserve">Hogan2008?</w:t>
        </w:r>
      </w:hyperlink>
      <w:r>
        <w:t xml:space="preserve">)</w:t>
      </w:r>
      <w:r>
        <w:t xml:space="preserve">. These</w:t>
      </w:r>
      <w:r>
        <w:t xml:space="preserve"> </w:t>
      </w:r>
      <w:r>
        <w:t xml:space="preserve">entities may own transmission infrastructure as a regulated monopoly, as</w:t>
      </w:r>
      <w:r>
        <w:t xml:space="preserve"> </w:t>
      </w:r>
      <w:r>
        <w:t xml:space="preserve">is the case with the various Transmission System Operators (TSOs) in</w:t>
      </w:r>
      <w:r>
        <w:t xml:space="preserve"> </w:t>
      </w:r>
      <w:r>
        <w:t xml:space="preserve">Europe, or be independent of any infrastructure ownership, such as the</w:t>
      </w:r>
      <w:r>
        <w:t xml:space="preserve"> </w:t>
      </w:r>
      <w:r>
        <w:t xml:space="preserve">Independent System Operators (ISOs) and Regional Transmission Operators</w:t>
      </w:r>
      <w:r>
        <w:t xml:space="preserve"> </w:t>
      </w:r>
      <w:r>
        <w:t xml:space="preserve">(RTOs) in North America and the Australian Energy Market Operator</w:t>
      </w:r>
      <w:r>
        <w:t xml:space="preserve"> </w:t>
      </w:r>
      <w:r>
        <w:t xml:space="preserve">(AEMO).</w:t>
      </w:r>
    </w:p>
    <w:bookmarkEnd w:id="42"/>
    <w:bookmarkStart w:id="44" w:name="market-models"/>
    <w:p>
      <w:pPr>
        <w:pStyle w:val="Heading6"/>
      </w:pPr>
      <w:r>
        <w:rPr>
          <w:rStyle w:val="SectionNumber"/>
        </w:rPr>
        <w:t xml:space="preserve">4.4.2.2.2.2</w:t>
      </w:r>
      <w:r>
        <w:tab/>
      </w:r>
      <w:r>
        <w:t xml:space="preserve">Market models</w:t>
      </w:r>
    </w:p>
    <w:p>
      <w:pPr>
        <w:pStyle w:val="FirstParagraph"/>
      </w:pPr>
      <w:r>
        <w:t xml:space="preserve">The restructuring process proceeded differently across jurisdictions,</w:t>
      </w:r>
      <w:r>
        <w:t xml:space="preserve"> </w:t>
      </w:r>
      <w:r>
        <w:t xml:space="preserve">resulting in the implementation of different wholesale market</w:t>
      </w:r>
      <w:r>
        <w:t xml:space="preserve"> </w:t>
      </w:r>
      <w:r>
        <w:t xml:space="preserve">mechanisms. However, at a higher level, electricity markets worldwide</w:t>
      </w:r>
      <w:r>
        <w:t xml:space="preserve"> </w:t>
      </w:r>
      <w:r>
        <w:t xml:space="preserve">have generally converged towards two main market models which are</w:t>
      </w:r>
      <w:r>
        <w:t xml:space="preserve"> </w:t>
      </w:r>
      <w:r>
        <w:t xml:space="preserve">distinguished by the degree of centralisation of market operations and</w:t>
      </w:r>
      <w:r>
        <w:t xml:space="preserve"> </w:t>
      </w:r>
      <w:r>
        <w:t xml:space="preserve">the role of the system operator</w:t>
      </w:r>
      <w:r>
        <w:t xml:space="preserve"> </w:t>
      </w:r>
      <w:r>
        <w:t xml:space="preserve">(</w:t>
      </w:r>
      <w:hyperlink w:anchor="fig:market_models">
        <w:r>
          <w:rPr>
            <w:rStyle w:val="Hyperlink"/>
          </w:rPr>
          <w:t xml:space="preserve">2</w:t>
        </w:r>
      </w:hyperlink>
      <w:r>
        <w:t xml:space="preserve">):</w:t>
      </w:r>
    </w:p>
    <w:p>
      <w:pPr>
        <w:numPr>
          <w:ilvl w:val="0"/>
          <w:numId w:val="1003"/>
        </w:numPr>
      </w:pPr>
      <w:r>
        <w:t xml:space="preserve">Decentralised</w:t>
      </w:r>
      <w:r>
        <w:t xml:space="preserve"> </w:t>
      </w:r>
      <w:r>
        <w:rPr>
          <w:iCs/>
          <w:i/>
        </w:rPr>
        <w:t xml:space="preserve">bilateral markets</w:t>
      </w:r>
      <w:r>
        <w:t xml:space="preserve">, in which suppliers enter into</w:t>
      </w:r>
      <w:r>
        <w:t xml:space="preserve"> </w:t>
      </w:r>
      <w:r>
        <w:t xml:space="preserve">contracts with buyers either directly or through intermediaries</w:t>
      </w:r>
      <w:r>
        <w:t xml:space="preserve"> </w:t>
      </w:r>
      <w:r>
        <w:t xml:space="preserve">(</w:t>
      </w:r>
      <w:hyperlink w:anchor="ref-Barroso2005">
        <w:r>
          <w:rPr>
            <w:rStyle w:val="Hyperlink"/>
            <w:bCs/>
            <w:b/>
          </w:rPr>
          <w:t xml:space="preserve">Barroso2005?</w:t>
        </w:r>
      </w:hyperlink>
      <w:r>
        <w:t xml:space="preserve">)</w:t>
      </w:r>
      <w:r>
        <w:t xml:space="preserve">. Whilst scheduling and dispatch is managed by market</w:t>
      </w:r>
      <w:r>
        <w:t xml:space="preserve"> </w:t>
      </w:r>
      <w:r>
        <w:t xml:space="preserve">participants, intended energy schedules (i.e. net contract</w:t>
      </w:r>
      <w:r>
        <w:t xml:space="preserve"> </w:t>
      </w:r>
      <w:r>
        <w:t xml:space="preserve">positions) are submitted by market participants ahead of time to the</w:t>
      </w:r>
      <w:r>
        <w:t xml:space="preserve"> </w:t>
      </w:r>
      <w:r>
        <w:t xml:space="preserve">system operator, who is responsible for determining the requirement</w:t>
      </w:r>
      <w:r>
        <w:t xml:space="preserve"> </w:t>
      </w:r>
      <w:r>
        <w:t xml:space="preserve">for and procuring frequency control services (known as balancing</w:t>
      </w:r>
      <w:r>
        <w:t xml:space="preserve"> </w:t>
      </w:r>
      <w:r>
        <w:t xml:space="preserve">services in bilateral markets)</w:t>
      </w:r>
      <w:r>
        <w:t xml:space="preserve"> </w:t>
      </w:r>
      <w:r>
        <w:t xml:space="preserve">(</w:t>
      </w:r>
      <w:hyperlink w:anchor="ref-Hirth2015">
        <w:r>
          <w:rPr>
            <w:rStyle w:val="Hyperlink"/>
            <w:bCs/>
            <w:b/>
          </w:rPr>
          <w:t xml:space="preserve">Hirth2015?</w:t>
        </w:r>
      </w:hyperlink>
      <w:r>
        <w:t xml:space="preserve">)</w:t>
      </w:r>
      <w:r>
        <w:t xml:space="preserve">. This model is the</w:t>
      </w:r>
      <w:r>
        <w:t xml:space="preserve"> </w:t>
      </w:r>
      <w:r>
        <w:t xml:space="preserve">dominant market model in Europe.</w:t>
      </w:r>
    </w:p>
    <w:p>
      <w:pPr>
        <w:numPr>
          <w:ilvl w:val="0"/>
          <w:numId w:val="1003"/>
        </w:numPr>
      </w:pPr>
      <w:r>
        <w:t xml:space="preserve">Centralised</w:t>
      </w:r>
      <w:r>
        <w:t xml:space="preserve"> </w:t>
      </w:r>
      <w:r>
        <w:rPr>
          <w:iCs/>
          <w:i/>
        </w:rPr>
        <w:t xml:space="preserve">mandatory power pool markets</w:t>
      </w:r>
      <w:r>
        <w:t xml:space="preserve">, in which offers to</w:t>
      </w:r>
      <w:r>
        <w:t xml:space="preserve"> </w:t>
      </w:r>
      <w:r>
        <w:t xml:space="preserve">generate are aggregated into a single supply curve and are cleared</w:t>
      </w:r>
      <w:r>
        <w:t xml:space="preserve"> </w:t>
      </w:r>
      <w:r>
        <w:t xml:space="preserve">against a demand forecast (one-sided pool) or against an aggregated</w:t>
      </w:r>
      <w:r>
        <w:t xml:space="preserve"> </w:t>
      </w:r>
      <w:r>
        <w:t xml:space="preserve">demand curve constructed from potential buyers (two-sided pool) by</w:t>
      </w:r>
      <w:r>
        <w:t xml:space="preserve"> </w:t>
      </w:r>
      <w:r>
        <w:t xml:space="preserve">the system operator</w:t>
      </w:r>
      <w:r>
        <w:t xml:space="preserve"> </w:t>
      </w:r>
      <w:r>
        <w:t xml:space="preserve">(</w:t>
      </w:r>
      <w:hyperlink w:anchor="ref-Barroso2005">
        <w:r>
          <w:rPr>
            <w:rStyle w:val="Hyperlink"/>
            <w:bCs/>
            <w:b/>
          </w:rPr>
          <w:t xml:space="preserve">Barroso2005?</w:t>
        </w:r>
      </w:hyperlink>
      <w:r>
        <w:t xml:space="preserve">)</w:t>
      </w:r>
      <w:r>
        <w:t xml:space="preserve">. In these markets, locational</w:t>
      </w:r>
      <w:r>
        <w:t xml:space="preserve"> </w:t>
      </w:r>
      <w:r>
        <w:t xml:space="preserve">marginal prices for energy and frequency control services are</w:t>
      </w:r>
      <w:r>
        <w:t xml:space="preserve"> </w:t>
      </w:r>
      <w:r>
        <w:t xml:space="preserve">produced by centralised optimisation processes run by the system</w:t>
      </w:r>
      <w:r>
        <w:t xml:space="preserve"> </w:t>
      </w:r>
      <w:r>
        <w:t xml:space="preserve">operator that consider the physical constraints of the transmission</w:t>
      </w:r>
      <w:r>
        <w:t xml:space="preserve"> </w:t>
      </w:r>
      <w:r>
        <w:t xml:space="preserve">system</w:t>
      </w:r>
      <w:r>
        <w:t xml:space="preserve"> </w:t>
      </w:r>
      <w:r>
        <w:t xml:space="preserve">(</w:t>
      </w:r>
      <w:hyperlink w:anchor="ref-Cramton2017">
        <w:r>
          <w:rPr>
            <w:rStyle w:val="Hyperlink"/>
            <w:bCs/>
            <w:b/>
          </w:rPr>
          <w:t xml:space="preserve">Cramton2017?</w:t>
        </w:r>
      </w:hyperlink>
      <w:r>
        <w:t xml:space="preserve">)</w:t>
      </w:r>
      <w:r>
        <w:t xml:space="preserve">. The Australian National Electricity Market</w:t>
      </w:r>
      <w:r>
        <w:t xml:space="preserve"> </w:t>
      </w:r>
      <w:r>
        <w:t xml:space="preserve">(NEM) and the ISO/RTO markets in North America have adopted this</w:t>
      </w:r>
      <w:r>
        <w:t xml:space="preserve"> </w:t>
      </w:r>
      <w:r>
        <w:t xml:space="preserve">type of market model.</w:t>
      </w:r>
    </w:p>
    <w:p>
      <w:pPr>
        <w:pStyle w:val="FirstParagraph"/>
      </w:pPr>
      <w:r>
        <w:t xml:space="preserve">The difference between these mechanisms is whether real-time generation</w:t>
      </w:r>
      <w:r>
        <w:t xml:space="preserve"> </w:t>
      </w:r>
      <w:r>
        <w:t xml:space="preserve">instructions (</w:t>
      </w:r>
      <w:r>
        <w:rPr>
          <w:iCs/>
          <w:i/>
        </w:rPr>
        <w:t xml:space="preserve">dispatch</w:t>
      </w:r>
      <w:r>
        <w:t xml:space="preserve">) or scheduling decisions (an outcome of</w:t>
      </w:r>
      <w:r>
        <w:t xml:space="preserve"> </w:t>
      </w:r>
      <w:r>
        <w:rPr>
          <w:iCs/>
          <w:i/>
        </w:rPr>
        <w:t xml:space="preserve">unit</w:t>
      </w:r>
      <w:r>
        <w:rPr>
          <w:iCs/>
          <w:i/>
        </w:rPr>
        <w:t xml:space="preserve"> </w:t>
      </w:r>
      <w:r>
        <w:rPr>
          <w:iCs/>
          <w:i/>
        </w:rPr>
        <w:t xml:space="preserve">commitment</w:t>
      </w:r>
      <w:r>
        <w:t xml:space="preserve"> </w:t>
      </w:r>
      <w:r>
        <w:t xml:space="preserve">processes) are determined centrally by the system operator</w:t>
      </w:r>
      <w:r>
        <w:t xml:space="preserve"> </w:t>
      </w:r>
      <w:r>
        <w:t xml:space="preserve">or are decentralised, with decisions made by market participants. It is</w:t>
      </w:r>
      <w:r>
        <w:t xml:space="preserve"> </w:t>
      </w:r>
      <w:r>
        <w:t xml:space="preserve">important to note, however, that the adoption of one model does not</w:t>
      </w:r>
      <w:r>
        <w:t xml:space="preserve"> </w:t>
      </w:r>
      <w:r>
        <w:t xml:space="preserve">preclude the integration of aspects of the other. Bilateral contracts</w:t>
      </w:r>
      <w:r>
        <w:t xml:space="preserve"> </w:t>
      </w:r>
      <w:r>
        <w:t xml:space="preserve">(in the form of derivatives) are often used as hedging instruments in</w:t>
      </w:r>
      <w:r>
        <w:t xml:space="preserve"> </w:t>
      </w:r>
      <w:r>
        <w:t xml:space="preserve">mandatory pool markets and several bilateral markets, such as those in</w:t>
      </w:r>
      <w:r>
        <w:t xml:space="preserve"> </w:t>
      </w:r>
      <w:r>
        <w:t xml:space="preserve">Europe, have associated voluntary power exchanges that are essentially</w:t>
      </w:r>
      <w:r>
        <w:t xml:space="preserve"> </w:t>
      </w:r>
      <w:r>
        <w:t xml:space="preserve">power pools</w:t>
      </w:r>
      <w:r>
        <w:t xml:space="preserve"> </w:t>
      </w:r>
      <w:r>
        <w:t xml:space="preserve">(</w:t>
      </w:r>
      <w:hyperlink w:anchor="ref-Barroso2005">
        <w:r>
          <w:rPr>
            <w:rStyle w:val="Hyperlink"/>
            <w:bCs/>
            <w:b/>
          </w:rPr>
          <w:t xml:space="preserve">Barroso2005?</w:t>
        </w:r>
      </w:hyperlink>
      <w:r>
        <w:t xml:space="preserve">)</w:t>
      </w:r>
      <w:r>
        <w:t xml:space="preserve">.</w:t>
      </w:r>
    </w:p>
    <w:p>
      <w:pPr>
        <w:pStyle w:val="BodyText"/>
      </w:pPr>
    </w:p>
    <w:p>
      <w:pPr>
        <w:pStyle w:val="BodyText"/>
      </w:pPr>
      <w:r>
        <w:t xml:space="preserve">.</w:t>
      </w:r>
      <w:r>
        <w:t xml:space="preserve"> </w:t>
      </w:r>
      <w:bookmarkStart w:id="43" w:name="fig:market_models"/>
      <w:bookmarkEnd w:id="43"/>
    </w:p>
    <w:p>
      <w:pPr>
        <w:pStyle w:val="BodyText"/>
      </w:pPr>
      <w:r>
        <w:t xml:space="preserve">Mandatory power pool and physical bilateral market models.</w:t>
      </w:r>
      <w:r>
        <w:t xml:space="preserve"> </w:t>
      </w:r>
      <w:r>
        <w:t xml:space="preserve">Reproduced from</w:t>
      </w:r>
      <w:r>
        <w:t xml:space="preserve"> </w:t>
      </w:r>
    </w:p>
    <w:bookmarkEnd w:id="44"/>
    <w:bookmarkStart w:id="45" w:name="market-platforms"/>
    <w:p>
      <w:pPr>
        <w:pStyle w:val="Heading6"/>
      </w:pPr>
      <w:r>
        <w:rPr>
          <w:rStyle w:val="SectionNumber"/>
        </w:rPr>
        <w:t xml:space="preserve">4.4.2.2.2.3</w:t>
      </w:r>
      <w:r>
        <w:tab/>
      </w:r>
      <w:r>
        <w:t xml:space="preserve">Market platforms</w:t>
      </w:r>
    </w:p>
    <w:p>
      <w:pPr>
        <w:pStyle w:val="FirstParagraph"/>
      </w:pPr>
      <w:r>
        <w:t xml:space="preserve">Whilst other commodity markets are settled continuously or sequentially,</w:t>
      </w:r>
      <w:r>
        <w:t xml:space="preserve"> </w:t>
      </w:r>
      <w:r>
        <w:t xml:space="preserve">reliability and security considerations and concerns have led to</w:t>
      </w:r>
      <w:r>
        <w:t xml:space="preserve"> </w:t>
      </w:r>
      <w:r>
        <w:t xml:space="preserve">electricity markets being divided into discrete</w:t>
      </w:r>
      <w:r>
        <w:t xml:space="preserve"> </w:t>
      </w:r>
      <w:r>
        <w:rPr>
          <w:iCs/>
          <w:i/>
        </w:rPr>
        <w:t xml:space="preserve">platforms</w:t>
      </w:r>
      <w:r>
        <w:t xml:space="preserve"> </w:t>
      </w:r>
      <w:r>
        <w:t xml:space="preserve">(</w:t>
      </w:r>
      <w:hyperlink w:anchor="ref-Isemonger2006">
        <w:r>
          <w:rPr>
            <w:rStyle w:val="Hyperlink"/>
            <w:bCs/>
            <w:b/>
          </w:rPr>
          <w:t xml:space="preserve">Isemonger2006?</w:t>
        </w:r>
      </w:hyperlink>
      <w:r>
        <w:t xml:space="preserve">)</w:t>
      </w:r>
      <w:r>
        <w:t xml:space="preserve">. Platforms are formal sub-markets for energy that are</w:t>
      </w:r>
      <w:r>
        <w:t xml:space="preserve"> </w:t>
      </w:r>
      <w:r>
        <w:t xml:space="preserve">settled at different times. A platform implemented by all electricity</w:t>
      </w:r>
      <w:r>
        <w:t xml:space="preserve"> </w:t>
      </w:r>
      <w:r>
        <w:t xml:space="preserve">markets is a real-time, or spot, market. Where implemented, additional</w:t>
      </w:r>
      <w:r>
        <w:t xml:space="preserve"> </w:t>
      </w:r>
      <w:r>
        <w:t xml:space="preserve">platforms involve trade for one or more real-time market intervals but</w:t>
      </w:r>
      <w:r>
        <w:t xml:space="preserve"> </w:t>
      </w:r>
      <w:r>
        <w:t xml:space="preserve">are each settled at different times ahead of the spot market. These</w:t>
      </w:r>
      <w:r>
        <w:t xml:space="preserve"> </w:t>
      </w:r>
      <w:r>
        <w:t xml:space="preserve">additional platforms can reduce uncertainty for the system operator and</w:t>
      </w:r>
      <w:r>
        <w:t xml:space="preserve"> </w:t>
      </w:r>
      <w:r>
        <w:t xml:space="preserve">provide market participants with a formal market mechanism for managing</w:t>
      </w:r>
      <w:r>
        <w:t xml:space="preserve"> </w:t>
      </w:r>
      <w:r>
        <w:t xml:space="preserve">risk</w:t>
      </w:r>
      <w:r>
        <w:t xml:space="preserve"> </w:t>
      </w:r>
      <w:r>
        <w:t xml:space="preserve">(</w:t>
      </w:r>
      <w:hyperlink w:anchor="ref-Isemonger2006">
        <w:r>
          <w:rPr>
            <w:rStyle w:val="Hyperlink"/>
            <w:bCs/>
            <w:b/>
          </w:rPr>
          <w:t xml:space="preserve">Isemonger2006?</w:t>
        </w:r>
      </w:hyperlink>
      <w:r>
        <w:t xml:space="preserve">;</w:t>
      </w:r>
      <w:r>
        <w:t xml:space="preserve"> </w:t>
      </w:r>
      <w:hyperlink w:anchor="ref-EnergySecurityBoard2020c">
        <w:r>
          <w:rPr>
            <w:rStyle w:val="Hyperlink"/>
            <w:bCs/>
            <w:b/>
          </w:rPr>
          <w:t xml:space="preserve">EnergySecurityBoard2020c?</w:t>
        </w:r>
      </w:hyperlink>
      <w:r>
        <w:t xml:space="preserve">)</w:t>
      </w:r>
      <w:r>
        <w:t xml:space="preserve">.</w:t>
      </w:r>
    </w:p>
    <w:p>
      <w:pPr>
        <w:pStyle w:val="BodyText"/>
      </w:pPr>
      <w:r>
        <w:t xml:space="preserve">The number and type of platforms a particular market implements is often</w:t>
      </w:r>
      <w:r>
        <w:t xml:space="preserve"> </w:t>
      </w:r>
      <w:r>
        <w:t xml:space="preserve">related to its market model. European bilateral markets often have a</w:t>
      </w:r>
      <w:r>
        <w:t xml:space="preserve"> </w:t>
      </w:r>
      <w:r>
        <w:t xml:space="preserve">real-time market, a day-ahead market and intra-day markets, where</w:t>
      </w:r>
      <w:r>
        <w:t xml:space="preserve"> </w:t>
      </w:r>
      <w:r>
        <w:t xml:space="preserve">day-ahead commitments may be traded continuously between market</w:t>
      </w:r>
      <w:r>
        <w:t xml:space="preserve"> </w:t>
      </w:r>
      <w:r>
        <w:t xml:space="preserve">participants</w:t>
      </w:r>
      <w:r>
        <w:t xml:space="preserve"> </w:t>
      </w:r>
      <w:r>
        <w:t xml:space="preserve">(</w:t>
      </w:r>
      <w:hyperlink w:anchor="ref-Ahlqvist2018Central-Markets">
        <w:r>
          <w:rPr>
            <w:rStyle w:val="Hyperlink"/>
            <w:bCs/>
            <w:b/>
          </w:rPr>
          <w:t xml:space="preserve">Ahlqvist2018Central-Markets?</w:t>
        </w:r>
      </w:hyperlink>
      <w:r>
        <w:t xml:space="preserve">)</w:t>
      </w:r>
      <w:r>
        <w:t xml:space="preserve">. In contrast, however, it is</w:t>
      </w:r>
      <w:r>
        <w:t xml:space="preserve"> </w:t>
      </w:r>
      <w:r>
        <w:t xml:space="preserve">practical to limit the number of platforms in a mandatory pool market</w:t>
      </w:r>
      <w:r>
        <w:t xml:space="preserve"> </w:t>
      </w:r>
      <w:r>
        <w:t xml:space="preserve">due to the inflexibility of commitment</w:t>
      </w:r>
      <w:r>
        <w:t xml:space="preserve"> </w:t>
      </w:r>
      <w:r>
        <w:t xml:space="preserve">‘</w:t>
      </w:r>
      <w:r>
        <w:t xml:space="preserve">contracts</w:t>
      </w:r>
      <w:r>
        <w:t xml:space="preserve">’</w:t>
      </w:r>
      <w:r>
        <w:t xml:space="preserve"> </w:t>
      </w:r>
      <w:r>
        <w:t xml:space="preserve">determined by</w:t>
      </w:r>
      <w:r>
        <w:t xml:space="preserve"> </w:t>
      </w:r>
      <w:r>
        <w:t xml:space="preserve">computationally complex optimisation processes</w:t>
      </w:r>
      <w:r>
        <w:t xml:space="preserve"> </w:t>
      </w:r>
      <w:r>
        <w:t xml:space="preserve">(</w:t>
      </w:r>
      <w:hyperlink w:anchor="ref-Isemonger2006">
        <w:r>
          <w:rPr>
            <w:rStyle w:val="Hyperlink"/>
            <w:bCs/>
            <w:b/>
          </w:rPr>
          <w:t xml:space="preserve">Isemonger2006?</w:t>
        </w:r>
      </w:hyperlink>
      <w:r>
        <w:t xml:space="preserve">;</w:t>
      </w:r>
      <w:r>
        <w:t xml:space="preserve"> </w:t>
      </w:r>
      <w:hyperlink w:anchor="ref-Ahlqvist2018Central-Markets">
        <w:r>
          <w:rPr>
            <w:rStyle w:val="Hyperlink"/>
            <w:bCs/>
            <w:b/>
          </w:rPr>
          <w:t xml:space="preserve">Ahlqvist2018Central-Markets?</w:t>
        </w:r>
      </w:hyperlink>
      <w:r>
        <w:t xml:space="preserve">)</w:t>
      </w:r>
      <w:r>
        <w:t xml:space="preserve">. North American ISO/RTO</w:t>
      </w:r>
      <w:r>
        <w:t xml:space="preserve"> </w:t>
      </w:r>
      <w:r>
        <w:t xml:space="preserve">markets have two platforms - a financially binding day-ahead market and</w:t>
      </w:r>
      <w:r>
        <w:t xml:space="preserve"> </w:t>
      </w:r>
      <w:r>
        <w:t xml:space="preserve">a physically and financially binding real-time spot market</w:t>
      </w:r>
      <w:r>
        <w:t xml:space="preserve"> </w:t>
      </w:r>
      <w:r>
        <w:t xml:space="preserve">(</w:t>
      </w:r>
      <w:hyperlink w:anchor="ref-Cramton2017">
        <w:r>
          <w:rPr>
            <w:rStyle w:val="Hyperlink"/>
            <w:bCs/>
            <w:b/>
          </w:rPr>
          <w:t xml:space="preserve">Cramton2017?</w:t>
        </w:r>
      </w:hyperlink>
      <w:r>
        <w:t xml:space="preserve">)</w:t>
      </w:r>
      <w:r>
        <w:t xml:space="preserve">. The Australian NEM is rather unique amongst mandatory</w:t>
      </w:r>
      <w:r>
        <w:t xml:space="preserve"> </w:t>
      </w:r>
      <w:r>
        <w:t xml:space="preserve">pool markets as it only has a single platform - the real-time spot</w:t>
      </w:r>
      <w:r>
        <w:t xml:space="preserve"> </w:t>
      </w:r>
      <w:r>
        <w:t xml:space="preserve">market. This arrangement means that while dispatch is centralised,</w:t>
      </w:r>
      <w:r>
        <w:t xml:space="preserve"> </w:t>
      </w:r>
      <w:r>
        <w:t xml:space="preserve">participants manage the commitment of their generation portfolio with</w:t>
      </w:r>
      <w:r>
        <w:t xml:space="preserve"> </w:t>
      </w:r>
      <w:r>
        <w:t xml:space="preserve">the assistance of pre-dispatch forecasts provided by AEMO</w:t>
      </w:r>
      <w:r>
        <w:t xml:space="preserve"> </w:t>
      </w:r>
      <w:r>
        <w:t xml:space="preserve">(</w:t>
      </w:r>
      <w:hyperlink w:anchor="ref-Riesz2016a">
        <w:r>
          <w:rPr>
            <w:rStyle w:val="Hyperlink"/>
            <w:bCs/>
            <w:b/>
          </w:rPr>
          <w:t xml:space="preserve">Riesz2016a?</w:t>
        </w:r>
      </w:hyperlink>
      <w:r>
        <w:t xml:space="preserve">)</w:t>
      </w:r>
      <w:r>
        <w:t xml:space="preserve">.</w:t>
      </w:r>
    </w:p>
    <w:bookmarkEnd w:id="45"/>
    <w:bookmarkEnd w:id="46"/>
    <w:bookmarkEnd w:id="47"/>
    <w:bookmarkEnd w:id="48"/>
    <w:bookmarkEnd w:id="49"/>
    <w:bookmarkStart w:id="59" w:name="active-power-balancing"/>
    <w:p>
      <w:pPr>
        <w:pStyle w:val="Heading2"/>
      </w:pPr>
      <w:r>
        <w:rPr>
          <w:rStyle w:val="SectionNumber"/>
        </w:rPr>
        <w:t xml:space="preserve">4.5</w:t>
      </w:r>
      <w:r>
        <w:tab/>
      </w:r>
      <w:r>
        <w:t xml:space="preserve">Active power balancing</w:t>
      </w:r>
    </w:p>
    <w:p>
      <w:pPr>
        <w:pStyle w:val="FirstParagraph"/>
      </w:pPr>
      <w:r>
        <w:t xml:space="preserve">In theory,</w:t>
      </w:r>
      <w:r>
        <w:t xml:space="preserve"> </w:t>
      </w:r>
      <w:r>
        <w:rPr>
          <w:iCs/>
          <w:i/>
        </w:rPr>
        <w:t xml:space="preserve">active power balancing</w:t>
      </w:r>
      <w:r>
        <w:t xml:space="preserve"> </w:t>
      </w:r>
      <w:r>
        <w:t xml:space="preserve">is simply a consequence of the law of conservation of energy: the energy supplied through primary energy conversion or by energy storage into a network node is equal to the sum of the energy dissipated, stored and consumed at the same network node at each and every moment. In practice, however, it involves the</w:t>
      </w:r>
      <w:r>
        <w:t xml:space="preserve"> </w:t>
      </w:r>
      <w:r>
        <w:rPr>
          <w:iCs/>
          <w:i/>
          <w:bCs/>
          <w:b/>
        </w:rPr>
        <w:t xml:space="preserve">moment-to-moment control</w:t>
      </w:r>
      <w:r>
        <w:rPr>
          <w:bCs/>
          <w:b/>
        </w:rPr>
        <w:t xml:space="preserve"> </w:t>
      </w:r>
      <w:r>
        <w:rPr>
          <w:bCs/>
          <w:b/>
        </w:rPr>
        <w:t xml:space="preserve">of generation and loads to balance active power supply and demand</w:t>
      </w:r>
      <w:r>
        <w:rPr>
          <w:bCs/>
          <w:b/>
        </w:rPr>
        <w:t xml:space="preserve"> </w:t>
      </w:r>
      <w:r>
        <w:rPr>
          <w:iCs/>
          <w:i/>
          <w:bCs/>
          <w:b/>
        </w:rPr>
        <w:t xml:space="preserve">across the power system</w:t>
      </w:r>
      <w:r>
        <w:t xml:space="preserve">.</w:t>
      </w:r>
      <w:r>
        <w:t xml:space="preserve"> </w:t>
      </w:r>
      <w:r>
        <w:rPr>
          <w:iCs/>
          <w:i/>
        </w:rPr>
        <w:t xml:space="preserve">Moment-to-moment control</w:t>
      </w:r>
      <w:r>
        <w:t xml:space="preserve"> </w:t>
      </w:r>
      <w:r>
        <w:t xml:space="preserve">is required because it is still uneconomical in many jurisdictions to store electricity at scale (i.e. in the same order of magnitude as generation and demand)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and though electricity can be transported close to the speed of light across the network, balancing required coordination</w:t>
      </w:r>
      <w:r>
        <w:t xml:space="preserve"> </w:t>
      </w:r>
      <w:r>
        <w:rPr>
          <w:iCs/>
          <w:i/>
        </w:rPr>
        <w:t xml:space="preserve">across the power system</w:t>
      </w:r>
      <w:r>
        <w:t xml:space="preserve"> </w:t>
      </w:r>
      <w:r>
        <w:t xml:space="preserve">because of transmission losses and network constraints imposed by line thermal limits, stability requirements &amp;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w:t>
      </w:r>
    </w:p>
    <w:bookmarkStart w:id="55" w:name="why-is-it-required"/>
    <w:p>
      <w:pPr>
        <w:pStyle w:val="Heading3"/>
      </w:pPr>
      <w:r>
        <w:rPr>
          <w:rStyle w:val="SectionNumber"/>
        </w:rPr>
        <w:t xml:space="preserve">4.5.1</w:t>
      </w:r>
      <w:r>
        <w:tab/>
      </w:r>
      <w:r>
        <w:t xml:space="preserve">Why is it required?</w:t>
      </w:r>
    </w:p>
    <w:p>
      <w:pPr>
        <w:pStyle w:val="FirstParagraph"/>
      </w:pPr>
      <w:r>
        <w:t xml:space="preserve">Unlike the transportation networks of many other commodities, an imbalance between active power supply &amp; demand can lead to deviations in technical parameters — voltage and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 As such, maintaining active power balance is essential to proper resource and system functioning.</w:t>
      </w:r>
    </w:p>
    <w:bookmarkStart w:id="53" w:name="X0c4939f57ca57377f8d45e14156f746a44ac013"/>
    <w:p>
      <w:pPr>
        <w:pStyle w:val="Heading4"/>
      </w:pPr>
      <w:r>
        <w:rPr>
          <w:rStyle w:val="SectionNumber"/>
        </w:rPr>
        <w:t xml:space="preserve">4.5.1.1</w:t>
      </w:r>
      <w:r>
        <w:tab/>
      </w:r>
      <w:r>
        <w:t xml:space="preserve">The relationship between active power balance &amp; AC frequency</w:t>
      </w:r>
    </w:p>
    <w:p>
      <w:pPr>
        <w:pStyle w:val="FirstParagraph"/>
      </w:pPr>
      <w:r>
        <w:t xml:space="preserve">Because synchronous machines are present in most power systems, system active power balance is closely tied to the system’s AC frequency. During steady state operation, synchronous machines rotate at a</w:t>
      </w:r>
      <w:r>
        <w:t xml:space="preserve"> </w:t>
      </w:r>
      <w:r>
        <w:rPr>
          <w:iCs/>
          <w:i/>
        </w:rPr>
        <w:t xml:space="preserve">synchronous speed</w:t>
      </w:r>
      <w:r>
        <w:t xml:space="preserve"> </w:t>
      </w:r>
      <w:r>
        <w:t xml:space="preserve">(</w:t>
      </w:r>
      <m:oMath>
        <m:sSub>
          <m:e>
            <m:r>
              <m:t>N</m:t>
            </m:r>
          </m:e>
          <m:sub>
            <m:r>
              <m:t>s</m:t>
            </m:r>
          </m:sub>
        </m:sSub>
      </m:oMath>
      <w:r>
        <w:t xml:space="preserve">) that is proportional to the nominal system frequency (</w:t>
      </w:r>
      <m:oMath>
        <m:r>
          <m:t>f</m:t>
        </m:r>
      </m:oMath>
      <w:r>
        <w:t xml:space="preserve">) (Equation </w:t>
      </w:r>
      <w:r>
        <w:rPr>
          <w:bCs/>
          <w:b/>
        </w:rPr>
        <w:t xml:space="preserve">¿eq:synch_speed?</w:t>
      </w:r>
      <w:r>
        <w:t xml:space="preserve">)</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m:oMathPara>
        <m:oMathParaPr>
          <m:jc m:val="center"/>
        </m:oMathParaPr>
        <m:oMath>
          <m:sSub>
            <m:e>
              <m:r>
                <m:t>N</m:t>
              </m:r>
            </m:e>
            <m:sub>
              <m:r>
                <m:t>s</m:t>
              </m:r>
            </m:sub>
          </m:sSub>
          <m:r>
            <m:rPr>
              <m:sty m:val="p"/>
            </m:rPr>
            <m:t>=</m:t>
          </m:r>
          <m:f>
            <m:fPr>
              <m:type m:val="bar"/>
            </m:fPr>
            <m:num>
              <m:r>
                <m:t>120</m:t>
              </m:r>
              <m:r>
                <m:t>f</m:t>
              </m:r>
            </m:num>
            <m:den>
              <m:r>
                <m:t>P</m:t>
              </m:r>
            </m:den>
          </m:f>
        </m:oMath>
      </m:oMathPara>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w:t>
      </w:r>
    </w:p>
    <w:p>
      <w:pPr>
        <w:pStyle w:val="BodyText"/>
      </w:pPr>
      <w:r>
        <w:t xml:space="preserve">The link between active power imbalance and synchronous speed/system frequency can be elucidated by examining synchronous machine dynamics. In a synchronous generator (coal-fired, gas-fired and hydro generators), the interaction between the interacting magnetic fields of the rotor and stator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(Figure 3). Equation </w:t>
      </w:r>
      <w:r>
        <w:rPr>
          <w:bCs/>
          <w:b/>
        </w:rPr>
        <w:t xml:space="preserve">¿eq:swing?</w:t>
      </w:r>
      <w:r>
        <w:t xml:space="preserve">, which is an energy balance variation of what is known as the</w:t>
      </w:r>
      <w:r>
        <w:t xml:space="preserve"> </w:t>
      </w:r>
      <w:r>
        <w:rPr>
          <w:iCs/>
          <w:i/>
        </w:rPr>
        <w:t xml:space="preserve">swing equation</w:t>
      </w:r>
      <w:r>
        <w:t xml:space="preserve">,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oMath>
      </m:oMathPara>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5334000" cy="3460202"/>
            <wp:effectExtent b="0" l="0" r="0" t="0"/>
            <wp:docPr descr="Mechanical power applied to the prime mover results in a mechanical torque T_m on the rotor of a synchronous generator. This is opposed by an electromagnetic torque T_e that is produced from the interaction of the rotor and stator magnetic fields. Source: Rebours (2009)" title="" id="51" name="Picture"/>
            <a:graphic>
              <a:graphicData uri="http://schemas.openxmlformats.org/drawingml/2006/picture">
                <pic:pic>
                  <pic:nvPicPr>
                    <pic:cNvPr descr="source/figures/swing.png" id="52" name="Picture"/>
                    <pic:cNvPicPr>
                      <a:picLocks noChangeArrowheads="1" noChangeAspect="1"/>
                    </pic:cNvPicPr>
                  </pic:nvPicPr>
                  <pic:blipFill>
                    <a:blip r:embed="rId50"/>
                    <a:stretch>
                      <a:fillRect/>
                    </a:stretch>
                  </pic:blipFill>
                  <pic:spPr bwMode="auto">
                    <a:xfrm>
                      <a:off x="0" y="0"/>
                      <a:ext cx="5334000" cy="3460202"/>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of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dynamics of the swing equation from a single synchronous generator to all synchronous generators in a synchronous area (Equation </w:t>
      </w:r>
      <w:r>
        <w:rPr>
          <w:bCs/>
          <w:b/>
        </w:rPr>
        <w:t xml:space="preserve">¿eq:swing_area?</w:t>
      </w:r>
      <w:r>
        <w:t xml:space="preserve">). Equation </w:t>
      </w:r>
      <w:r>
        <w:rPr>
          <w:bCs/>
          <w:b/>
        </w:rPr>
        <w:t xml:space="preserve">¿eq:swing_area?</w:t>
      </w:r>
      <w:r>
        <w:t xml:space="preserve"> </w:t>
      </w:r>
      <w:r>
        <w:t xml:space="preserve">shows that the rate of change of frequency (</w:t>
      </w:r>
      <w:r>
        <w:rPr>
          <w:iCs/>
          <w:i/>
        </w:rPr>
        <w:t xml:space="preserve">RoCoF</w:t>
      </w:r>
      <w:r>
        <w:t xml:space="preserve">)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iCs/>
          <w:i/>
        </w:rPr>
        <w:t xml:space="preserve">inertial response</w:t>
      </w:r>
      <w:r>
        <w:t xml:space="preserve"> </w:t>
      </w:r>
      <w:r>
        <w:t xml:space="preserve">of synchronous generators, and not the</w:t>
      </w:r>
      <w:r>
        <w:t xml:space="preserve"> </w:t>
      </w:r>
      <w:r>
        <w:rPr>
          <w:iCs/>
          <w:i/>
        </w:rPr>
        <w:t xml:space="preserve">load damping</w:t>
      </w:r>
      <w:r>
        <w:t xml:space="preserve"> </w:t>
      </w:r>
      <w:r>
        <w:t xml:space="preserve">response offered by (frequency-dependent) induction motor loads. Generation inertial response typically plays a large role in electromechanical system dynamics as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oMath>
      </m:oMathPara>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system’s total power supply and total power demand (including losses), respectively.</w:t>
      </w:r>
    </w:p>
    <w:p>
      <w:pPr>
        <w:pStyle w:val="BodyText"/>
      </w:pPr>
      <w:r>
        <w:t xml:space="preserve">Equation </w:t>
      </w:r>
      <w:r>
        <w:rPr>
          <w:bCs/>
          <w:b/>
        </w:rPr>
        <w:t xml:space="preserve">¿eq:swing_area?</w:t>
      </w:r>
      <w:r>
        <w:t xml:space="preserve"> </w:t>
      </w:r>
      <w:r>
        <w:t xml:space="preserve">also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 decrease in system frequency (i.e. negative RoCoF) and oversupply will lead to an increase in system frequency (i.e. positive RoCoF).</w:t>
      </w:r>
    </w:p>
    <w:bookmarkEnd w:id="53"/>
    <w:bookmarkStart w:id="54" w:name="the-consequences-of-frequency-deviations"/>
    <w:p>
      <w:pPr>
        <w:pStyle w:val="Heading4"/>
      </w:pPr>
      <w:r>
        <w:rPr>
          <w:rStyle w:val="SectionNumber"/>
        </w:rPr>
        <w:t xml:space="preserve">4.5.1.2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iCs/>
          <w:i/>
        </w:rPr>
        <w:t xml:space="preserve">cascading failures</w:t>
      </w:r>
      <w:r>
        <w:t xml:space="preserve"> </w:t>
      </w:r>
      <w:r>
        <w:t xml:space="preserve">and can lead to a total system collapse (a</w:t>
      </w:r>
      <w:r>
        <w:t xml:space="preserve"> </w:t>
      </w:r>
      <w:r>
        <w:rPr>
          <w:iCs/>
          <w:i/>
        </w:rPr>
        <w:t xml:space="preserve">blackout</w:t>
      </w:r>
      <w:r>
        <w:t xml:space="preserve">). Blackouts can have devastating social &amp; economic consequences and require long &amp; complex system restoration procedures before the power system can be returned to normal operation</w:t>
      </w:r>
      <w:r>
        <w:t xml:space="preserve"> </w:t>
      </w:r>
      <w:r>
        <w:t xml:space="preserve">(</w:t>
      </w:r>
      <w:hyperlink w:anchor="ref-kirschenFundamentalsPowerSystem2004">
        <w:r>
          <w:rPr>
            <w:rStyle w:val="Hyperlink"/>
          </w:rPr>
          <w:t xml:space="preserve">Kirschen and Strbac, 2004</w:t>
        </w:r>
      </w:hyperlink>
      <w:r>
        <w:t xml:space="preserve">)</w:t>
      </w:r>
      <w:r>
        <w:t xml:space="preserve">. As such, SOs often employ emergency frequency control schemes that trip loads in the event of under-frequency (</w:t>
      </w:r>
      <w:r>
        <w:rPr>
          <w:iCs/>
          <w:i/>
        </w:rPr>
        <w:t xml:space="preserve">under-frequency load shedding</w:t>
      </w:r>
      <w:r>
        <w:t xml:space="preserve"> </w:t>
      </w:r>
      <w:r>
        <w:t xml:space="preserve">or</w:t>
      </w:r>
      <w:r>
        <w:t xml:space="preserve"> </w:t>
      </w:r>
      <w:r>
        <w:rPr>
          <w:iCs/>
          <w:i/>
        </w:rPr>
        <w:t xml:space="preserve">UFLS</w:t>
      </w:r>
      <w:r>
        <w:t xml:space="preserve">) or generation in the event of over-frequency (</w:t>
      </w:r>
      <w:r>
        <w:rPr>
          <w:iCs/>
          <w:i/>
        </w:rPr>
        <w:t xml:space="preserve">over-frequency generation shedding</w:t>
      </w:r>
      <w:r>
        <w:t xml:space="preserve"> </w:t>
      </w:r>
      <w:r>
        <w:t xml:space="preserve">or</w:t>
      </w:r>
      <w:r>
        <w:t xml:space="preserve"> </w:t>
      </w:r>
      <w:r>
        <w:rPr>
          <w:iCs/>
          <w:i/>
        </w:rPr>
        <w:t xml:space="preserve">OFGS</w:t>
      </w:r>
      <w:r>
        <w:t xml:space="preserve">) as a last line of defence against frequency-driven system collapse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w:t>
      </w:r>
    </w:p>
    <w:bookmarkEnd w:id="54"/>
    <w:bookmarkEnd w:id="55"/>
    <w:bookmarkStart w:id="58" w:name="threats-to-system-balance"/>
    <w:p>
      <w:pPr>
        <w:pStyle w:val="Heading3"/>
      </w:pPr>
      <w:r>
        <w:rPr>
          <w:rStyle w:val="SectionNumber"/>
        </w:rPr>
        <w:t xml:space="preserve">4.5.2</w:t>
      </w:r>
      <w:r>
        <w:tab/>
      </w:r>
      <w:r>
        <w:t xml:space="preserve">Threats to system balance</w:t>
      </w:r>
    </w:p>
    <w:p>
      <w:pPr>
        <w:pStyle w:val="FirstParagraph"/>
      </w:pPr>
      <w:r>
        <w:t xml:space="preserve">As highlighted in</w:t>
      </w:r>
      <w:r>
        <w:t xml:space="preserve"> </w:t>
      </w:r>
      <w:hyperlink w:anchor="eq:swing_area">
        <w:r>
          <w:rPr>
            <w:rStyle w:val="Hyperlink"/>
          </w:rPr>
          <w:t xml:space="preserve">[eq:swing_area]</w:t>
        </w:r>
      </w:hyperlink>
      <w:r>
        <w:t xml:space="preserve">, the AC frequency of a power system can</w:t>
      </w:r>
      <w:r>
        <w:t xml:space="preserve"> </w:t>
      </w:r>
      <w:r>
        <w:t xml:space="preserve">deviate from its nominal value when there is an imbalance between power</w:t>
      </w:r>
      <w:r>
        <w:t xml:space="preserve"> </w:t>
      </w:r>
      <w:r>
        <w:t xml:space="preserve">supply and demand in the synchronous area. Active power imbalances are</w:t>
      </w:r>
      <w:r>
        <w:t xml:space="preserve"> </w:t>
      </w:r>
      <w:r>
        <w:t xml:space="preserve">the result of power system</w:t>
      </w:r>
      <w:r>
        <w:t xml:space="preserve"> </w:t>
      </w:r>
      <w:r>
        <w:rPr>
          <w:iCs/>
          <w:i/>
        </w:rPr>
        <w:t xml:space="preserve">variability</w:t>
      </w:r>
      <w:r>
        <w:t xml:space="preserve"> </w:t>
      </w:r>
      <w:r>
        <w:t xml:space="preserve">and</w:t>
      </w:r>
      <w:r>
        <w:t xml:space="preserve"> </w:t>
      </w:r>
      <w:r>
        <w:rPr>
          <w:iCs/>
          <w:i/>
        </w:rPr>
        <w:t xml:space="preserve">uncertainty</w:t>
      </w:r>
      <w:r>
        <w:t xml:space="preserve">.</w:t>
      </w:r>
    </w:p>
    <w:bookmarkStart w:id="56" w:name="variability"/>
    <w:p>
      <w:pPr>
        <w:pStyle w:val="Heading4"/>
      </w:pPr>
      <w:r>
        <w:rPr>
          <w:rStyle w:val="SectionNumber"/>
        </w:rPr>
        <w:t xml:space="preserve">4.5.2.1</w:t>
      </w:r>
      <w:r>
        <w:tab/>
      </w:r>
      <w:r>
        <w:t xml:space="preserve">Variability</w:t>
      </w:r>
    </w:p>
    <w:p>
      <w:pPr>
        <w:pStyle w:val="FirstParagraph"/>
      </w:pPr>
      <w:r>
        <w:t xml:space="preserve">Variability refers to expected or forecast fluctuations in the balance</w:t>
      </w:r>
      <w:r>
        <w:t xml:space="preserve"> </w:t>
      </w:r>
      <w:r>
        <w:t xml:space="preserve">of active power supply and demand</w:t>
      </w:r>
      <w:r>
        <w:t xml:space="preserve"> </w:t>
      </w:r>
      <w:r>
        <w:t xml:space="preserve">(</w:t>
      </w:r>
      <w:hyperlink w:anchor="ref-Ela2011">
        <w:r>
          <w:rPr>
            <w:rStyle w:val="Hyperlink"/>
            <w:bCs/>
            <w:b/>
          </w:rPr>
          <w:t xml:space="preserve">Ela2011?</w:t>
        </w:r>
      </w:hyperlink>
      <w:r>
        <w:t xml:space="preserve">)</w:t>
      </w:r>
      <w:r>
        <w:t xml:space="preserve">. Sources of variability</w:t>
      </w:r>
      <w:r>
        <w:t xml:space="preserve"> </w:t>
      </w:r>
      <w:r>
        <w:t xml:space="preserve">include fluctuations in load, oscillatory active power output from</w:t>
      </w:r>
      <w:r>
        <w:t xml:space="preserve"> </w:t>
      </w:r>
      <w:r>
        <w:t xml:space="preserve">synchronous generators and changing weather conditions (e.g. cloud</w:t>
      </w:r>
      <w:r>
        <w:t xml:space="preserve"> </w:t>
      </w:r>
      <w:r>
        <w:t xml:space="preserve">cover, wind speed) that may affect the active power output of VRE</w:t>
      </w:r>
      <w:r>
        <w:t xml:space="preserve"> </w:t>
      </w:r>
      <w:r>
        <w:t xml:space="preserve">(</w:t>
      </w:r>
      <w:hyperlink w:anchor="ref-Ela2011">
        <w:r>
          <w:rPr>
            <w:rStyle w:val="Hyperlink"/>
            <w:bCs/>
            <w:b/>
          </w:rPr>
          <w:t xml:space="preserve">Ela2011?</w:t>
        </w:r>
      </w:hyperlink>
      <w:r>
        <w:t xml:space="preserve">;</w:t>
      </w:r>
      <w:r>
        <w:t xml:space="preserve"> </w:t>
      </w:r>
      <w:hyperlink w:anchor="ref-Bloom2017">
        <w:r>
          <w:rPr>
            <w:rStyle w:val="Hyperlink"/>
            <w:bCs/>
            <w:b/>
          </w:rPr>
          <w:t xml:space="preserve">Bloom2017?</w:t>
        </w:r>
      </w:hyperlink>
      <w:r>
        <w:t xml:space="preserve">;</w:t>
      </w:r>
      <w:r>
        <w:t xml:space="preserve"> </w:t>
      </w:r>
      <w:hyperlink w:anchor="ref-Riesz2015a">
        <w:r>
          <w:rPr>
            <w:rStyle w:val="Hyperlink"/>
            <w:bCs/>
            <w:b/>
          </w:rPr>
          <w:t xml:space="preserve">Riesz2015a?</w:t>
        </w:r>
      </w:hyperlink>
      <w:r>
        <w:t xml:space="preserve">)</w:t>
      </w:r>
      <w:r>
        <w:t xml:space="preserve">.</w:t>
      </w:r>
    </w:p>
    <w:bookmarkEnd w:id="56"/>
    <w:bookmarkStart w:id="57" w:name="uncertainty"/>
    <w:p>
      <w:pPr>
        <w:pStyle w:val="Heading4"/>
      </w:pPr>
      <w:r>
        <w:rPr>
          <w:rStyle w:val="SectionNumber"/>
        </w:rPr>
        <w:t xml:space="preserve">4.5.2.2</w:t>
      </w:r>
      <w:r>
        <w:tab/>
      </w:r>
      <w:r>
        <w:t xml:space="preserve">Uncertainty</w:t>
      </w:r>
    </w:p>
    <w:p>
      <w:pPr>
        <w:pStyle w:val="FirstParagraph"/>
      </w:pPr>
      <w:r>
        <w:t xml:space="preserve">Uncertainty refers to unexpected fluctuations in the balance of active</w:t>
      </w:r>
      <w:r>
        <w:t xml:space="preserve"> </w:t>
      </w:r>
      <w:r>
        <w:t xml:space="preserve">power supply and demand</w:t>
      </w:r>
      <w:r>
        <w:t xml:space="preserve"> </w:t>
      </w:r>
      <w:r>
        <w:t xml:space="preserve">(</w:t>
      </w:r>
      <w:hyperlink w:anchor="ref-Ela2011">
        <w:r>
          <w:rPr>
            <w:rStyle w:val="Hyperlink"/>
            <w:bCs/>
            <w:b/>
          </w:rPr>
          <w:t xml:space="preserve">Ela2011?</w:t>
        </w:r>
      </w:hyperlink>
      <w:r>
        <w:t xml:space="preserve">)</w:t>
      </w:r>
      <w:r>
        <w:t xml:space="preserve">. Power system uncertainty encompasses</w:t>
      </w:r>
      <w:r>
        <w:t xml:space="preserve"> </w:t>
      </w:r>
      <w:r>
        <w:t xml:space="preserve">the unanticipated behaviour of generators, loads and network elements.</w:t>
      </w:r>
      <w:r>
        <w:t xml:space="preserve"> </w:t>
      </w:r>
      <w:r>
        <w:t xml:space="preserve">This includes unexpected outages (known as</w:t>
      </w:r>
      <w:r>
        <w:t xml:space="preserve"> </w:t>
      </w:r>
      <w:r>
        <w:rPr>
          <w:iCs/>
          <w:i/>
        </w:rPr>
        <w:t xml:space="preserve">contingency events</w:t>
      </w:r>
      <w:r>
        <w:t xml:space="preserve">) and</w:t>
      </w:r>
      <w:r>
        <w:t xml:space="preserve"> </w:t>
      </w:r>
      <w:r>
        <w:t xml:space="preserve">weather forecast errors that lead to VRE generation forecast error</w:t>
      </w:r>
      <w:r>
        <w:t xml:space="preserve"> </w:t>
      </w:r>
      <w:r>
        <w:t xml:space="preserve">(</w:t>
      </w:r>
      <w:hyperlink w:anchor="ref-Ela2011">
        <w:r>
          <w:rPr>
            <w:rStyle w:val="Hyperlink"/>
            <w:bCs/>
            <w:b/>
          </w:rPr>
          <w:t xml:space="preserve">Ela2011?</w:t>
        </w:r>
      </w:hyperlink>
      <w:r>
        <w:t xml:space="preserve">;</w:t>
      </w:r>
      <w:r>
        <w:t xml:space="preserve"> </w:t>
      </w:r>
      <w:hyperlink w:anchor="ref-Riesz2015a">
        <w:r>
          <w:rPr>
            <w:rStyle w:val="Hyperlink"/>
            <w:bCs/>
            <w:b/>
          </w:rPr>
          <w:t xml:space="preserve">Riesz2015a?</w:t>
        </w:r>
      </w:hyperlink>
      <w:r>
        <w:t xml:space="preserve">)</w:t>
      </w:r>
    </w:p>
    <w:bookmarkEnd w:id="57"/>
    <w:bookmarkEnd w:id="58"/>
    <w:bookmarkEnd w:id="59"/>
    <w:bookmarkStart w:id="117" w:name="balancing-processes-and-mechanisms"/>
    <w:p>
      <w:pPr>
        <w:pStyle w:val="Heading2"/>
      </w:pPr>
      <w:r>
        <w:rPr>
          <w:rStyle w:val="SectionNumber"/>
        </w:rPr>
        <w:t xml:space="preserve">4.6</w:t>
      </w:r>
      <w:r>
        <w:tab/>
      </w:r>
      <w:r>
        <w:t xml:space="preserve">Balancing processes and mechanisms</w:t>
      </w:r>
    </w:p>
    <w:p>
      <w:pPr>
        <w:pStyle w:val="FirstParagraph"/>
      </w:pPr>
      <w:r>
        <w:t xml:space="preserve">Power system frequency control is required for the stable operation of a</w:t>
      </w:r>
      <w:r>
        <w:t xml:space="preserve"> </w:t>
      </w:r>
      <w:r>
        <w:t xml:space="preserve">synchronous area. lianEnergyMarketCommission2019]. Trigger of emergency control schemes is undesirable as it affects reliability utcomes</w:t>
      </w:r>
    </w:p>
    <w:bookmarkStart w:id="60" w:name="the-role-of-frequency-control-services"/>
    <w:p>
      <w:pPr>
        <w:pStyle w:val="Heading3"/>
      </w:pPr>
      <w:r>
        <w:rPr>
          <w:rStyle w:val="SectionNumber"/>
        </w:rPr>
        <w:t xml:space="preserve">4.6.1</w:t>
      </w:r>
      <w:r>
        <w:tab/>
      </w:r>
      <w:r>
        <w:t xml:space="preserve">The role of frequency control services</w:t>
      </w:r>
    </w:p>
    <w:p>
      <w:pPr>
        <w:pStyle w:val="FirstParagraph"/>
      </w:pPr>
      <w:r>
        <w:t xml:space="preserve">As discussed in</w:t>
      </w:r>
      <w:r>
        <w:t xml:space="preserve"> </w:t>
      </w:r>
      <w:hyperlink w:anchor="sec:scuc_sced">
        <w:r>
          <w:rPr>
            <w:rStyle w:val="Hyperlink"/>
          </w:rPr>
          <w:t xml:space="preserve">2.4</w:t>
        </w:r>
      </w:hyperlink>
      <w:r>
        <w:t xml:space="preserve">, SCED is executed by vertically-integrated</w:t>
      </w:r>
      <w:r>
        <w:t xml:space="preserve"> </w:t>
      </w:r>
      <w:r>
        <w:t xml:space="preserve">utilities and in mandatory pool electricity markets to ensure that</w:t>
      </w:r>
      <w:r>
        <w:t xml:space="preserve"> </w:t>
      </w:r>
      <w:r>
        <w:t xml:space="preserve">active power supply and demand is efficiently balanced subject to</w:t>
      </w:r>
      <w:r>
        <w:t xml:space="preserve"> </w:t>
      </w:r>
      <w:r>
        <w:t xml:space="preserve">network constraints and system security and reliability requirements.</w:t>
      </w:r>
      <w:r>
        <w:t xml:space="preserve"> </w:t>
      </w:r>
      <w:r>
        <w:t xml:space="preserve">Between, and potentially across consecutive SCED processes (dispatch</w:t>
      </w:r>
      <w:r>
        <w:t xml:space="preserve"> </w:t>
      </w:r>
      <w:r>
        <w:t xml:space="preserve">intervals) and unit commitment schedules,</w:t>
      </w:r>
      <w:r>
        <w:t xml:space="preserve"> </w:t>
      </w:r>
      <w:r>
        <w:rPr>
          <w:iCs/>
          <w:i/>
        </w:rPr>
        <w:t xml:space="preserve">frequency control services</w:t>
      </w:r>
      <w:r>
        <w:t xml:space="preserve"> </w:t>
      </w:r>
      <w:r>
        <w:t xml:space="preserve">are used by the system operator to manage both small and large</w:t>
      </w:r>
      <w:r>
        <w:t xml:space="preserve"> </w:t>
      </w:r>
      <w:r>
        <w:t xml:space="preserve">instantaneous active power imbalances that may arise due to variability</w:t>
      </w:r>
      <w:r>
        <w:t xml:space="preserve"> </w:t>
      </w:r>
      <w:r>
        <w:t xml:space="preserve">and uncertainty.</w:t>
      </w:r>
    </w:p>
    <w:bookmarkEnd w:id="60"/>
    <w:bookmarkStart w:id="75" w:name="sec:conventional_freq_control"/>
    <w:p>
      <w:pPr>
        <w:pStyle w:val="Heading3"/>
      </w:pPr>
      <w:r>
        <w:rPr>
          <w:rStyle w:val="SectionNumber"/>
        </w:rPr>
        <w:t xml:space="preserve">4.6.2</w:t>
      </w:r>
      <w:r>
        <w:tab/>
      </w:r>
      <w:r>
        <w:t xml:space="preserve">Conventional frequency control scheme and services</w:t>
      </w:r>
    </w:p>
    <w:p>
      <w:pPr>
        <w:pStyle w:val="FirstParagraph"/>
      </w:pPr>
      <w:r>
        <w:t xml:space="preserve">Power system operators typically employ a hierarchical and sequential</w:t>
      </w:r>
      <w:r>
        <w:t xml:space="preserve"> </w:t>
      </w:r>
      <w:r>
        <w:t xml:space="preserve">control scheme to contain AC frequency within as narrow a band as</w:t>
      </w:r>
      <w:r>
        <w:t xml:space="preserve"> </w:t>
      </w:r>
      <w:r>
        <w:t xml:space="preserve">possible, particularly during contingency events</w:t>
      </w:r>
      <w:r>
        <w:t xml:space="preserve"> </w:t>
      </w:r>
      <w:r>
        <w:t xml:space="preserve">(</w:t>
      </w:r>
      <w:hyperlink w:anchor="ref-Undrill2018">
        <w:r>
          <w:rPr>
            <w:rStyle w:val="Hyperlink"/>
            <w:bCs/>
            <w:b/>
          </w:rPr>
          <w:t xml:space="preserve">Undrill2018?</w:t>
        </w:r>
      </w:hyperlink>
      <w:r>
        <w:t xml:space="preserve">;</w:t>
      </w:r>
      <w:r>
        <w:t xml:space="preserve"> </w:t>
      </w:r>
      <w:hyperlink w:anchor="ref-Ela2011">
        <w:r>
          <w:rPr>
            <w:rStyle w:val="Hyperlink"/>
            <w:bCs/>
            <w:b/>
          </w:rPr>
          <w:t xml:space="preserve">Ela2011?</w:t>
        </w:r>
      </w:hyperlink>
      <w:r>
        <w:t xml:space="preserve">)</w:t>
      </w:r>
      <w:r>
        <w:t xml:space="preserve">. This control scheme involves the use of</w:t>
      </w:r>
      <w:r>
        <w:t xml:space="preserve"> </w:t>
      </w:r>
      <w:r>
        <w:t xml:space="preserve">generation or load units with reserve capacity that provide frequency</w:t>
      </w:r>
      <w:r>
        <w:t xml:space="preserve"> </w:t>
      </w:r>
      <w:r>
        <w:t xml:space="preserve">control services</w:t>
      </w:r>
      <w:r>
        <w:t xml:space="preserve"> </w:t>
      </w:r>
      <w:r>
        <w:t xml:space="preserve">(</w:t>
      </w:r>
      <w:hyperlink w:anchor="ref-Ela2011">
        <w:r>
          <w:rPr>
            <w:rStyle w:val="Hyperlink"/>
            <w:bCs/>
            <w:b/>
          </w:rPr>
          <w:t xml:space="preserve">Ela2011?</w:t>
        </w:r>
      </w:hyperlink>
      <w:r>
        <w:t xml:space="preserve">)</w:t>
      </w:r>
      <w:r>
        <w:t xml:space="preserve">. For these units to mitigate power system</w:t>
      </w:r>
      <w:r>
        <w:t xml:space="preserve"> </w:t>
      </w:r>
      <w:r>
        <w:t xml:space="preserve">frequency deviations, they must have reserve capacity in the form of</w:t>
      </w:r>
      <w:r>
        <w:t xml:space="preserve"> </w:t>
      </w:r>
      <w:r>
        <w:rPr>
          <w:iCs/>
          <w:i/>
        </w:rPr>
        <w:t xml:space="preserve">headroom</w:t>
      </w:r>
      <w:r>
        <w:t xml:space="preserve"> </w:t>
      </w:r>
      <w:r>
        <w:t xml:space="preserve">(the ability to increase active power output) to respond to</w:t>
      </w:r>
      <w:r>
        <w:t xml:space="preserve"> </w:t>
      </w:r>
      <w:r>
        <w:t xml:space="preserve">an under-frequency event,</w:t>
      </w:r>
      <w:r>
        <w:t xml:space="preserve"> </w:t>
      </w:r>
      <w:r>
        <w:rPr>
          <w:iCs/>
          <w:i/>
        </w:rPr>
        <w:t xml:space="preserve">footroom</w:t>
      </w:r>
      <w:r>
        <w:t xml:space="preserve"> </w:t>
      </w:r>
      <w:r>
        <w:t xml:space="preserve">(the ability to decrease active</w:t>
      </w:r>
      <w:r>
        <w:t xml:space="preserve"> </w:t>
      </w:r>
      <w:r>
        <w:t xml:space="preserve">power output) to respond to an over-frequency event, or both</w:t>
      </w:r>
      <w:r>
        <w:t xml:space="preserve"> </w:t>
      </w:r>
      <w:r>
        <w:t xml:space="preserve">(</w:t>
      </w:r>
      <w:hyperlink w:anchor="ref-Eto2010a">
        <w:r>
          <w:rPr>
            <w:rStyle w:val="Hyperlink"/>
            <w:bCs/>
            <w:b/>
          </w:rPr>
          <w:t xml:space="preserve">Eto2010a?</w:t>
        </w:r>
      </w:hyperlink>
      <w:r>
        <w:t xml:space="preserve">)</w:t>
      </w:r>
      <w:r>
        <w:t xml:space="preserve">. Under-frequency events are generally of greater concern to</w:t>
      </w:r>
      <w:r>
        <w:t xml:space="preserve"> </w:t>
      </w:r>
      <w:r>
        <w:t xml:space="preserve">the system operator (e.g. loss of large generator). The various</w:t>
      </w:r>
      <w:r>
        <w:t xml:space="preserve"> </w:t>
      </w:r>
      <w:r>
        <w:t xml:space="preserve">frequency control services differ based on their purpose, activation</w:t>
      </w:r>
      <w:r>
        <w:t xml:space="preserve"> </w:t>
      </w:r>
      <w:r>
        <w:t xml:space="preserve">method, response time and control method</w:t>
      </w:r>
      <w:r>
        <w:t xml:space="preserve"> </w:t>
      </w:r>
      <w:r>
        <w:t xml:space="preserve">(</w:t>
      </w:r>
      <w:hyperlink w:anchor="fig:freq_control">
        <w:r>
          <w:rPr>
            <w:rStyle w:val="Hyperlink"/>
          </w:rPr>
          <w:t xml:space="preserve">5</w:t>
        </w:r>
      </w:hyperlink>
      <w:r>
        <w:t xml:space="preserve">). In the following subsections, we outline</w:t>
      </w:r>
      <w:r>
        <w:t xml:space="preserve"> </w:t>
      </w:r>
      <w:r>
        <w:t xml:space="preserve">frequency control services that are common in many power systems.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frames over which the various frequency control services are provided. Source: (AustralianEnergyMarketOperator2020l?)." title="" id="62" name="Picture"/>
            <a:graphic>
              <a:graphicData uri="http://schemas.openxmlformats.org/drawingml/2006/picture">
                <pic:pic>
                  <pic:nvPicPr>
                    <pic:cNvPr descr="source/figures/freq_control-03.png" id="63" name="Picture"/>
                    <pic:cNvPicPr>
                      <a:picLocks noChangeArrowheads="1" noChangeAspect="1"/>
                    </pic:cNvPicPr>
                  </pic:nvPicPr>
                  <pic:blipFill>
                    <a:blip r:embed="rId61"/>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4: (a) A trace of power system frequency with corresponding frequency</w:t>
      </w:r>
      <w:r>
        <w:t xml:space="preserve"> </w:t>
      </w:r>
      <w:r>
        <w:t xml:space="preserve">control services following a loss-of-generation contingency event. (b)</w:t>
      </w:r>
      <w:r>
        <w:t xml:space="preserve"> </w:t>
      </w:r>
      <w:r>
        <w:t xml:space="preserve">The timeframes over which the various frequency control services are</w:t>
      </w:r>
      <w:r>
        <w:t xml:space="preserve"> </w:t>
      </w:r>
      <w:r>
        <w:t xml:space="preserve">provided. Source:</w:t>
      </w:r>
      <w:r>
        <w:t xml:space="preserve"> </w:t>
      </w:r>
      <w:r>
        <w:t xml:space="preserve">(</w:t>
      </w:r>
      <w:hyperlink w:anchor="ref-AustralianEnergyMarketOperator2020l">
        <w:r>
          <w:rPr>
            <w:rStyle w:val="Hyperlink"/>
            <w:bCs/>
            <w:b/>
          </w:rPr>
          <w:t xml:space="preserve">AustralianEnergyMarketOperator2020l?</w:t>
        </w:r>
      </w:hyperlink>
      <w:r>
        <w:t xml:space="preserve">)</w:t>
      </w:r>
      <w:r>
        <w:t xml:space="preserve">.</w:t>
      </w:r>
    </w:p>
    <w:bookmarkStart w:id="64" w:name="inertial-response"/>
    <w:p>
      <w:pPr>
        <w:pStyle w:val="Heading4"/>
      </w:pPr>
      <w:r>
        <w:rPr>
          <w:rStyle w:val="SectionNumber"/>
        </w:rPr>
        <w:t xml:space="preserve">4.6.2.1</w:t>
      </w:r>
      <w:r>
        <w:tab/>
      </w:r>
      <w:r>
        <w:t xml:space="preserve">Inertial response</w:t>
      </w:r>
    </w:p>
    <w:p>
      <w:pPr>
        <w:pStyle w:val="FirstParagraph"/>
      </w:pPr>
      <w:r>
        <w:t xml:space="preserve">As discussed in</w:t>
      </w:r>
      <w:r>
        <w:t xml:space="preserve"> </w:t>
      </w:r>
      <w:hyperlink w:anchor="sec:electromech">
        <w:r>
          <w:rPr>
            <w:rStyle w:val="Hyperlink"/>
          </w:rPr>
          <w:t xml:space="preserve">3.3.1</w:t>
        </w:r>
      </w:hyperlink>
      <w:r>
        <w:t xml:space="preserve">, synchronous machines have an inherent</w:t>
      </w:r>
      <w:r>
        <w:t xml:space="preserve"> </w:t>
      </w:r>
      <w:r>
        <w:t xml:space="preserve">inertial response to AC frequency deviations that must be considered in</w:t>
      </w:r>
      <w:r>
        <w:t xml:space="preserve"> </w:t>
      </w:r>
      <w:r>
        <w:t xml:space="preserve">the frequency control strategy of a power system. For a a given active</w:t>
      </w:r>
      <w:r>
        <w:t xml:space="preserve"> </w:t>
      </w:r>
      <w:r>
        <w:t xml:space="preserve">power imbalance, the inertia constant of the synchronous area,</w:t>
      </w:r>
      <w:r>
        <w:t xml:space="preserve"> </w:t>
      </w:r>
      <m:oMath>
        <m:r>
          <m:t>H</m:t>
        </m:r>
      </m:oMath>
      <w:r>
        <w:t xml:space="preserve">,</w:t>
      </w:r>
      <w:r>
        <w:t xml:space="preserve"> </w:t>
      </w:r>
      <w:r>
        <w:t xml:space="preserve">determines the magnitude of the initial RoCoF following a contingency</w:t>
      </w:r>
      <w:r>
        <w:t xml:space="preserve"> </w:t>
      </w:r>
      <w:r>
        <w:t xml:space="preserve">event (see</w:t>
      </w:r>
      <w:r>
        <w:t xml:space="preserve"> </w:t>
      </w:r>
      <w:hyperlink w:anchor="eq:swing_area">
        <w:r>
          <w:rPr>
            <w:rStyle w:val="Hyperlink"/>
          </w:rPr>
          <w:t xml:space="preserve">[eq:swing_area]</w:t>
        </w:r>
      </w:hyperlink>
      <w:r>
        <w:t xml:space="preserve">) and the speed at which the power system can</w:t>
      </w:r>
      <w:r>
        <w:t xml:space="preserve"> </w:t>
      </w:r>
      <w:r>
        <w:t xml:space="preserve">be returned to the nominal frequency</w:t>
      </w:r>
      <w:r>
        <w:t xml:space="preserve"> </w:t>
      </w:r>
      <w:r>
        <w:t xml:space="preserve">(</w:t>
      </w:r>
      <w:hyperlink w:anchor="ref-Ulbig2014">
        <w:r>
          <w:rPr>
            <w:rStyle w:val="Hyperlink"/>
            <w:bCs/>
            <w:b/>
          </w:rPr>
          <w:t xml:space="preserve">Ulbig2014?</w:t>
        </w:r>
      </w:hyperlink>
      <w:r>
        <w:t xml:space="preserve">;</w:t>
      </w:r>
      <w:r>
        <w:t xml:space="preserve"> </w:t>
      </w:r>
      <w:hyperlink w:anchor="ref-Hartmann2019">
        <w:r>
          <w:rPr>
            <w:rStyle w:val="Hyperlink"/>
            <w:bCs/>
            <w:b/>
          </w:rPr>
          <w:t xml:space="preserve">Hartmann2019?</w:t>
        </w:r>
      </w:hyperlink>
      <w:r>
        <w:t xml:space="preserve">)</w:t>
      </w:r>
      <w:r>
        <w:t xml:space="preserve">.</w:t>
      </w:r>
    </w:p>
    <w:bookmarkEnd w:id="64"/>
    <w:bookmarkStart w:id="65" w:name="primary-frequency-control"/>
    <w:p>
      <w:pPr>
        <w:pStyle w:val="Heading4"/>
      </w:pPr>
      <w:r>
        <w:rPr>
          <w:rStyle w:val="SectionNumber"/>
        </w:rPr>
        <w:t xml:space="preserve">4.6.2.2</w:t>
      </w:r>
      <w:r>
        <w:tab/>
      </w:r>
      <w:r>
        <w:t xml:space="preserve">Primary frequency control</w:t>
      </w:r>
    </w:p>
    <w:p>
      <w:pPr>
        <w:pStyle w:val="FirstParagraph"/>
      </w:pPr>
      <w:r>
        <w:t xml:space="preserve">The aim of primary frequency control (PFC) is to arrest the frequency</w:t>
      </w:r>
      <w:r>
        <w:t xml:space="preserve"> </w:t>
      </w:r>
      <w:r>
        <w:t xml:space="preserve">deviation through the autonomous response of generators and</w:t>
      </w:r>
      <w:r>
        <w:t xml:space="preserve"> </w:t>
      </w:r>
      <w:r>
        <w:t xml:space="preserve">frequency-responsive demand-response to locally-measured frequency</w:t>
      </w:r>
      <w:r>
        <w:t xml:space="preserve"> </w:t>
      </w:r>
      <w:r>
        <w:t xml:space="preserve">deviations that exceed a certain control dead-band</w:t>
      </w:r>
      <w:r>
        <w:t xml:space="preserve"> </w:t>
      </w:r>
      <w:r>
        <w:t xml:space="preserve">(</w:t>
      </w:r>
      <w:hyperlink w:anchor="ref-Ela2012b">
        <w:r>
          <w:rPr>
            <w:rStyle w:val="Hyperlink"/>
            <w:bCs/>
            <w:b/>
          </w:rPr>
          <w:t xml:space="preserve">Ela2012b?</w:t>
        </w:r>
      </w:hyperlink>
      <w:r>
        <w:t xml:space="preserve">;</w:t>
      </w:r>
      <w:r>
        <w:t xml:space="preserve"> </w:t>
      </w:r>
      <w:hyperlink w:anchor="ref-Wang2003">
        <w:r>
          <w:rPr>
            <w:rStyle w:val="Hyperlink"/>
            <w:bCs/>
            <w:b/>
          </w:rPr>
          <w:t xml:space="preserve">Wang2003?</w:t>
        </w:r>
      </w:hyperlink>
      <w:r>
        <w:t xml:space="preserve">;</w:t>
      </w:r>
      <w:r>
        <w:t xml:space="preserve"> </w:t>
      </w:r>
      <w:hyperlink w:anchor="ref-AustralianEnergyMarketOperator2019e">
        <w:r>
          <w:rPr>
            <w:rStyle w:val="Hyperlink"/>
            <w:bCs/>
            <w:b/>
          </w:rPr>
          <w:t xml:space="preserve">AustralianEnergyMarketOperator2019e?</w:t>
        </w:r>
      </w:hyperlink>
      <w:r>
        <w:t xml:space="preserve">)</w:t>
      </w:r>
      <w:r>
        <w:t xml:space="preserve">. For</w:t>
      </w:r>
      <w:r>
        <w:t xml:space="preserve"> </w:t>
      </w:r>
      <w:r>
        <w:t xml:space="preserve">generators, this is achieved through</w:t>
      </w:r>
      <w:r>
        <w:t xml:space="preserve"> </w:t>
      </w:r>
      <w:r>
        <w:rPr>
          <w:iCs/>
          <w:i/>
        </w:rPr>
        <w:t xml:space="preserve">droop control</w:t>
      </w:r>
      <w:r>
        <w:t xml:space="preserve">, in which a</w:t>
      </w:r>
      <w:r>
        <w:t xml:space="preserve"> </w:t>
      </w:r>
      <w:r>
        <w:t xml:space="preserve">deviation from synchronous speed corresponds to a change in the active</w:t>
      </w:r>
      <w:r>
        <w:t xml:space="preserve"> </w:t>
      </w:r>
      <w:r>
        <w:t xml:space="preserve">power output of a generator according to its droop characteristic</w:t>
      </w:r>
      <w:r>
        <w:t xml:space="preserve"> </w:t>
      </w:r>
      <w:r>
        <w:t xml:space="preserve">(</w:t>
      </w:r>
      <w:hyperlink w:anchor="fig:droop">
        <w:r>
          <w:rPr>
            <w:rStyle w:val="Hyperlink"/>
          </w:rPr>
          <w:t xml:space="preserve">6</w:t>
        </w:r>
      </w:hyperlink>
      <w:r>
        <w:t xml:space="preserve">, from A to</w:t>
      </w:r>
      <w:r>
        <w:t xml:space="preserve"> </w:t>
      </w:r>
      <w:r>
        <w:t xml:space="preserve">B along</w:t>
      </w:r>
      <w:r>
        <w:t xml:space="preserve"> </w:t>
      </w:r>
      <m:oMath>
        <m:sSub>
          <m:e>
            <m:r>
              <m:t>L</m:t>
            </m:r>
          </m:e>
          <m:sub>
            <m:r>
              <m:t>0</m:t>
            </m:r>
          </m:sub>
        </m:sSub>
      </m:oMath>
      <w:r>
        <w:t xml:space="preserve">)</w:t>
      </w:r>
      <w:r>
        <w:t xml:space="preserve"> </w:t>
      </w:r>
      <w:r>
        <w:t xml:space="preserve">(</w:t>
      </w:r>
      <w:hyperlink w:anchor="ref-Eto2018">
        <w:r>
          <w:rPr>
            <w:rStyle w:val="Hyperlink"/>
            <w:bCs/>
            <w:b/>
          </w:rPr>
          <w:t xml:space="preserve">Eto2018?</w:t>
        </w:r>
      </w:hyperlink>
      <w:r>
        <w:t xml:space="preserve">;</w:t>
      </w:r>
      <w:r>
        <w:t xml:space="preserve"> </w:t>
      </w:r>
      <w:hyperlink w:anchor="ref-Ela2012b">
        <w:r>
          <w:rPr>
            <w:rStyle w:val="Hyperlink"/>
            <w:bCs/>
            <w:b/>
          </w:rPr>
          <w:t xml:space="preserve">Ela2012b?</w:t>
        </w:r>
      </w:hyperlink>
      <w:r>
        <w:t xml:space="preserve">)</w:t>
      </w:r>
      <w:r>
        <w:t xml:space="preserve">. Droop control is implemented</w:t>
      </w:r>
      <w:r>
        <w:t xml:space="preserve"> </w:t>
      </w:r>
      <w:r>
        <w:t xml:space="preserve">through the turbine governors of synchronous generators or the inverter</w:t>
      </w:r>
      <w:r>
        <w:t xml:space="preserve"> </w:t>
      </w:r>
      <w:r>
        <w:t xml:space="preserve">control system for IBR</w:t>
      </w:r>
      <w:r>
        <w:t xml:space="preserve"> </w:t>
      </w:r>
      <w:r>
        <w:t xml:space="preserve">(</w:t>
      </w:r>
      <w:hyperlink w:anchor="ref-Undrill2018">
        <w:r>
          <w:rPr>
            <w:rStyle w:val="Hyperlink"/>
            <w:bCs/>
            <w:b/>
          </w:rPr>
          <w:t xml:space="preserve">Undrill2018?</w:t>
        </w:r>
      </w:hyperlink>
      <w:r>
        <w:t xml:space="preserve">)</w:t>
      </w:r>
      <w:r>
        <w:t xml:space="preserve">. Provided there is a sufficient</w:t>
      </w:r>
      <w:r>
        <w:t xml:space="preserve"> </w:t>
      </w:r>
      <w:r>
        <w:t xml:space="preserve">amount of PFC reserve to arrest the system frequency, the speed of PFC</w:t>
      </w:r>
      <w:r>
        <w:t xml:space="preserve"> </w:t>
      </w:r>
      <w:r>
        <w:t xml:space="preserve">determines the</w:t>
      </w:r>
      <w:r>
        <w:t xml:space="preserve"> </w:t>
      </w:r>
      <w:r>
        <w:rPr>
          <w:iCs/>
          <w:i/>
        </w:rPr>
        <w:t xml:space="preserve">frequency zenith</w:t>
      </w:r>
      <w:r>
        <w:t xml:space="preserve"> </w:t>
      </w:r>
      <w:r>
        <w:t xml:space="preserve">or</w:t>
      </w:r>
      <w:r>
        <w:t xml:space="preserve"> </w:t>
      </w:r>
      <w:r>
        <w:rPr>
          <w:iCs/>
          <w:i/>
        </w:rPr>
        <w:t xml:space="preserve">frequency nadir</w:t>
      </w:r>
      <w:r>
        <w:t xml:space="preserve">, which are the</w:t>
      </w:r>
      <w:r>
        <w:t xml:space="preserve"> </w:t>
      </w:r>
      <w:r>
        <w:t xml:space="preserve">maximum or minimum system frequency, respectively, following an active</w:t>
      </w:r>
      <w:r>
        <w:t xml:space="preserve"> </w:t>
      </w:r>
      <w:r>
        <w:t xml:space="preserve">power imbalance event</w:t>
      </w:r>
      <w:r>
        <w:t xml:space="preserve"> </w:t>
      </w:r>
      <w:r>
        <w:t xml:space="preserve">(</w:t>
      </w:r>
      <w:hyperlink w:anchor="ref-Eto2010a">
        <w:r>
          <w:rPr>
            <w:rStyle w:val="Hyperlink"/>
            <w:bCs/>
            <w:b/>
          </w:rPr>
          <w:t xml:space="preserve">Eto2010a?</w:t>
        </w:r>
      </w:hyperlink>
      <w:r>
        <w:t xml:space="preserve">)</w:t>
      </w:r>
      <w:r>
        <w:t xml:space="preserve">. PFC can be activated in response to</w:t>
      </w:r>
      <w:r>
        <w:t xml:space="preserve"> </w:t>
      </w:r>
      <w:r>
        <w:t xml:space="preserve">small (tight dead-band) or contingency (wide dead-band) imbalance events</w:t>
      </w:r>
      <w:r>
        <w:t xml:space="preserve"> </w:t>
      </w:r>
      <w:r>
        <w:t xml:space="preserve">and should ideally be sustained until secondary frequency control can</w:t>
      </w:r>
      <w:r>
        <w:t xml:space="preserve"> </w:t>
      </w:r>
      <w:r>
        <w:t xml:space="preserve">take over</w:t>
      </w:r>
      <w:r>
        <w:t xml:space="preserve"> </w:t>
      </w:r>
      <w:r>
        <w:t xml:space="preserve">(</w:t>
      </w:r>
      <w:hyperlink w:anchor="ref-Eto2018">
        <w:r>
          <w:rPr>
            <w:rStyle w:val="Hyperlink"/>
            <w:bCs/>
            <w:b/>
          </w:rPr>
          <w:t xml:space="preserve">Eto2018?</w:t>
        </w:r>
      </w:hyperlink>
      <w:r>
        <w:t xml:space="preserve">)</w:t>
      </w:r>
      <w:r>
        <w:t xml:space="preserve">.</w:t>
      </w:r>
    </w:p>
    <w:bookmarkEnd w:id="65"/>
    <w:bookmarkStart w:id="69" w:name="secondary-frequency-control"/>
    <w:p>
      <w:pPr>
        <w:pStyle w:val="Heading4"/>
      </w:pPr>
      <w:r>
        <w:rPr>
          <w:rStyle w:val="SectionNumber"/>
        </w:rPr>
        <w:t xml:space="preserve">4.6.2.3</w:t>
      </w:r>
      <w:r>
        <w:tab/>
      </w:r>
      <w:r>
        <w:t xml:space="preserve">Secondary frequency control</w:t>
      </w:r>
    </w:p>
    <w:p>
      <w:pPr>
        <w:pStyle w:val="FirstParagraph"/>
      </w:pPr>
      <w:r>
        <w:t xml:space="preserve">Secondary frequency control (SFC) replaces PFC and can consist of either</w:t>
      </w:r>
      <w:r>
        <w:t xml:space="preserve"> </w:t>
      </w:r>
      <w:r>
        <w:t xml:space="preserve">or both of a synchronous area secondary control system known as an</w:t>
      </w:r>
      <w:r>
        <w:t xml:space="preserve"> </w:t>
      </w:r>
      <w:r>
        <w:rPr>
          <w:iCs/>
          <w:i/>
        </w:rPr>
        <w:t xml:space="preserve">Automatic Generation Control</w:t>
      </w:r>
      <w:r>
        <w:t xml:space="preserve"> </w:t>
      </w:r>
      <w:r>
        <w:t xml:space="preserve">(AGC) or unit-level load controllers (the</w:t>
      </w:r>
      <w:r>
        <w:t xml:space="preserve"> </w:t>
      </w:r>
      <w:r>
        <w:t xml:space="preserve">latter is illustrated in</w:t>
      </w:r>
      <w:r>
        <w:t xml:space="preserve"> </w:t>
      </w:r>
      <w:hyperlink w:anchor="fig:droop">
        <w:r>
          <w:rPr>
            <w:rStyle w:val="Hyperlink"/>
          </w:rPr>
          <w:t xml:space="preserve">6</w:t>
        </w:r>
      </w:hyperlink>
      <w:r>
        <w:t xml:space="preserve">)</w:t>
      </w:r>
      <w:r>
        <w:t xml:space="preserve"> </w:t>
      </w:r>
      <w:r>
        <w:t xml:space="preserve">(</w:t>
      </w:r>
      <w:hyperlink w:anchor="ref-Undrill2018">
        <w:r>
          <w:rPr>
            <w:rStyle w:val="Hyperlink"/>
            <w:bCs/>
            <w:b/>
          </w:rPr>
          <w:t xml:space="preserve">Undrill2018?</w:t>
        </w:r>
      </w:hyperlink>
      <w:r>
        <w:t xml:space="preserve">;</w:t>
      </w:r>
      <w:r>
        <w:t xml:space="preserve"> </w:t>
      </w:r>
      <w:hyperlink w:anchor="ref-Eto2018">
        <w:r>
          <w:rPr>
            <w:rStyle w:val="Hyperlink"/>
            <w:bCs/>
            <w:b/>
          </w:rPr>
          <w:t xml:space="preserve">Eto2018?</w:t>
        </w:r>
      </w:hyperlink>
      <w:r>
        <w:t xml:space="preserve">;</w:t>
      </w:r>
      <w:r>
        <w:t xml:space="preserve"> </w:t>
      </w:r>
      <w:hyperlink w:anchor="ref-Undrill2019">
        <w:r>
          <w:rPr>
            <w:rStyle w:val="Hyperlink"/>
            <w:bCs/>
            <w:b/>
          </w:rPr>
          <w:t xml:space="preserve">Undrill2019?</w:t>
        </w:r>
      </w:hyperlink>
      <w:r>
        <w:t xml:space="preserve">)</w:t>
      </w:r>
      <w:r>
        <w:t xml:space="preserve">. The most</w:t>
      </w:r>
      <w:r>
        <w:t xml:space="preserve"> </w:t>
      </w:r>
      <w:r>
        <w:t xml:space="preserve">common strategy is for a synchronous area AGC to implement</w:t>
      </w:r>
      <w:r>
        <w:t xml:space="preserve"> </w:t>
      </w:r>
      <w:r>
        <w:t xml:space="preserve">proportional-integral control on the Area Control Error (ACE) with a</w:t>
      </w:r>
      <w:r>
        <w:t xml:space="preserve"> </w:t>
      </w:r>
      <w:r>
        <w:t xml:space="preserve">tie-line bias</w:t>
      </w:r>
      <w:r>
        <w:t xml:space="preserve"> </w:t>
      </w:r>
      <w:r>
        <w:t xml:space="preserve">(</w:t>
      </w:r>
      <w:hyperlink w:anchor="ref-Machowski2020">
        <w:r>
          <w:rPr>
            <w:rStyle w:val="Hyperlink"/>
            <w:bCs/>
            <w:b/>
          </w:rPr>
          <w:t xml:space="preserve">Machowski2020?</w:t>
        </w:r>
      </w:hyperlink>
      <w:r>
        <w:t xml:space="preserve">;</w:t>
      </w:r>
      <w:r>
        <w:t xml:space="preserve"> </w:t>
      </w:r>
      <w:hyperlink w:anchor="ref-Ela2011">
        <w:r>
          <w:rPr>
            <w:rStyle w:val="Hyperlink"/>
            <w:bCs/>
            <w:b/>
          </w:rPr>
          <w:t xml:space="preserve">Ela2011?</w:t>
        </w:r>
      </w:hyperlink>
      <w:r>
        <w:t xml:space="preserve">)</w:t>
      </w:r>
      <w:r>
        <w:t xml:space="preserve">. To minimise ACE and return the</w:t>
      </w:r>
      <w:r>
        <w:t xml:space="preserve"> </w:t>
      </w:r>
      <w:r>
        <w:t xml:space="preserve">power system to its nominal frequency, the AGC sends signals to SFC</w:t>
      </w:r>
      <w:r>
        <w:t xml:space="preserve"> </w:t>
      </w:r>
      <w:r>
        <w:t xml:space="preserve">units every 4 to 10 seconds to adjust their active power output in</w:t>
      </w:r>
      <w:r>
        <w:t xml:space="preserve"> </w:t>
      </w:r>
      <w:r>
        <w:t xml:space="preserve">response to a frequency deviation</w:t>
      </w:r>
      <w:r>
        <w:t xml:space="preserve"> </w:t>
      </w:r>
      <w:r>
        <w:t xml:space="preserve">(</w:t>
      </w:r>
      <w:hyperlink w:anchor="ref-Eto2018">
        <w:r>
          <w:rPr>
            <w:rStyle w:val="Hyperlink"/>
            <w:bCs/>
            <w:b/>
          </w:rPr>
          <w:t xml:space="preserve">Eto2018?</w:t>
        </w:r>
      </w:hyperlink>
      <w:r>
        <w:t xml:space="preserve">)</w:t>
      </w:r>
      <w:r>
        <w:t xml:space="preserve">. When used to respond to</w:t>
      </w:r>
      <w:r>
        <w:t xml:space="preserve"> </w:t>
      </w:r>
      <w:r>
        <w:t xml:space="preserve">smaller imbalance events, SFC is typically known as</w:t>
      </w:r>
      <w:r>
        <w:t xml:space="preserve"> </w:t>
      </w:r>
      <w:r>
        <w:rPr>
          <w:iCs/>
          <w:i/>
        </w:rPr>
        <w:t xml:space="preserve">regulation</w:t>
      </w:r>
      <w:r>
        <w:t xml:space="preserve"> </w:t>
      </w:r>
      <w:r>
        <w:t xml:space="preserve">(</w:t>
      </w:r>
      <w:hyperlink w:anchor="ref-Ela2011">
        <w:r>
          <w:rPr>
            <w:rStyle w:val="Hyperlink"/>
            <w:bCs/>
            <w:b/>
          </w:rPr>
          <w:t xml:space="preserve">Ela2011?</w:t>
        </w:r>
      </w:hyperlink>
      <w:r>
        <w:t xml:space="preserve">;</w:t>
      </w:r>
      <w:r>
        <w:t xml:space="preserve"> </w:t>
      </w:r>
      <w:hyperlink w:anchor="ref-Hewicker2020">
        <w:r>
          <w:rPr>
            <w:rStyle w:val="Hyperlink"/>
            <w:bCs/>
            <w:b/>
          </w:rPr>
          <w:t xml:space="preserve">Hewicker2020?</w:t>
        </w:r>
      </w:hyperlink>
      <w:r>
        <w:t xml:space="preserve">)</w:t>
      </w:r>
      <w:r>
        <w:t xml:space="preserve">.</w:t>
      </w:r>
    </w:p>
    <w:p>
      <w:pPr>
        <w:pStyle w:val="CaptionedFigure"/>
      </w:pPr>
      <w:r>
        <w:drawing>
          <wp:inline>
            <wp:extent cx="4000500" cy="3320845"/>
            <wp:effectExtent b="0" l="0" r="0" t="0"/>
            <wp:docPr descr="Behaviour of a synchronous generator with a turbine governor providing PFC and responding to SFC. L_0 is the initial droop characteristic. The generator is initially operating at point A with an active power output of P_{M0}. System frequency (and hence the synchronous sped of the turbine) decreases from \omega_0 to \omega_1 and the turbine governor responds by moving the turbine along the droop characteristic to point B, thus increasing its active power output to P_{M1}. Following this, SFC changes the reference speed setpoint of the governor, moving the droop characteristic to L_1 and returning the system to frequency \omega_0. Source: (Wang2003?)." title="" id="67" name="Picture"/>
            <a:graphic>
              <a:graphicData uri="http://schemas.openxmlformats.org/drawingml/2006/picture">
                <pic:pic>
                  <pic:nvPicPr>
                    <pic:cNvPr descr="source/figures/droop.png" id="68" name="Picture"/>
                    <pic:cNvPicPr>
                      <a:picLocks noChangeArrowheads="1" noChangeAspect="1"/>
                    </pic:cNvPicPr>
                  </pic:nvPicPr>
                  <pic:blipFill>
                    <a:blip r:embed="rId66"/>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5: Behaviour of a synchronous generator with a turbine governor providing</w:t>
      </w:r>
      <w:r>
        <w:t xml:space="preserve"> </w:t>
      </w:r>
      <w:r>
        <w:t xml:space="preserve">PFC and responding to SFC.</w:t>
      </w:r>
      <w:r>
        <w:t xml:space="preserve"> </w:t>
      </w:r>
      <m:oMath>
        <m:sSub>
          <m:e>
            <m:r>
              <m:t>L</m:t>
            </m:r>
          </m:e>
          <m:sub>
            <m:r>
              <m:t>0</m:t>
            </m:r>
          </m:sub>
        </m:sSub>
      </m:oMath>
      <w:r>
        <w:t xml:space="preserve"> </w:t>
      </w:r>
      <w:r>
        <w:t xml:space="preserve">is the initial droop characteristic.</w:t>
      </w:r>
      <w:r>
        <w:t xml:space="preserve"> </w:t>
      </w:r>
      <w:r>
        <w:t xml:space="preserve">The generator is initially operating at point A with an active power</w:t>
      </w:r>
      <w:r>
        <w:t xml:space="preserve"> </w:t>
      </w:r>
      <w:r>
        <w:t xml:space="preserve">output of</w:t>
      </w:r>
      <w:r>
        <w:t xml:space="preserve"> </w:t>
      </w:r>
      <m:oMath>
        <m:sSub>
          <m:e>
            <m:r>
              <m:t>P</m:t>
            </m:r>
          </m:e>
          <m:sub>
            <m:r>
              <m:t>M</m:t>
            </m:r>
            <m:r>
              <m:t>0</m:t>
            </m:r>
          </m:sub>
        </m:sSub>
      </m:oMath>
      <w:r>
        <w:t xml:space="preserve">. System frequency (and hence the synchronous sped of</w:t>
      </w:r>
      <w:r>
        <w:t xml:space="preserve"> </w:t>
      </w:r>
      <w:r>
        <w:t xml:space="preserve">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w:t>
      </w:r>
      <w:r>
        <w:t xml:space="preserve">and the turbine</w:t>
      </w:r>
      <w:r>
        <w:t xml:space="preserve"> </w:t>
      </w:r>
      <w:r>
        <w:t xml:space="preserve">governor responds by moving the turbine along the droop characteristic</w:t>
      </w:r>
      <w:r>
        <w:t xml:space="preserve"> </w:t>
      </w:r>
      <w:r>
        <w:t xml:space="preserve">to point B, thus increasing its active power output to</w:t>
      </w:r>
      <w:r>
        <w:t xml:space="preserve"> </w:t>
      </w:r>
      <m:oMath>
        <m:sSub>
          <m:e>
            <m:r>
              <m:t>P</m:t>
            </m:r>
          </m:e>
          <m:sub>
            <m:r>
              <m:t>M</m:t>
            </m:r>
            <m:r>
              <m:t>1</m:t>
            </m:r>
          </m:sub>
        </m:sSub>
      </m:oMath>
      <w:r>
        <w:t xml:space="preserve">.</w:t>
      </w:r>
      <w:r>
        <w:t xml:space="preserve"> </w:t>
      </w:r>
      <w:r>
        <w:t xml:space="preserve">Following this, SFC changes the reference speed setpoint of the</w:t>
      </w:r>
      <w:r>
        <w:t xml:space="preserve"> </w:t>
      </w:r>
      <w:r>
        <w:t xml:space="preserve">governor, moving the droop characteristic to</w:t>
      </w:r>
      <w:r>
        <w:t xml:space="preserve"> </w:t>
      </w:r>
      <m:oMath>
        <m:sSub>
          <m:e>
            <m:r>
              <m:t>L</m:t>
            </m:r>
          </m:e>
          <m:sub>
            <m:r>
              <m:t>1</m:t>
            </m:r>
          </m:sub>
        </m:sSub>
      </m:oMath>
      <w:r>
        <w:t xml:space="preserve"> </w:t>
      </w:r>
      <w:r>
        <w:t xml:space="preserve">and returning the</w:t>
      </w:r>
      <w:r>
        <w:t xml:space="preserve"> </w:t>
      </w:r>
      <w:r>
        <w:t xml:space="preserve">system to frequency</w:t>
      </w:r>
      <w:r>
        <w:t xml:space="preserve"> </w:t>
      </w:r>
      <m:oMath>
        <m:sSub>
          <m:e>
            <m:r>
              <m:t>ω</m:t>
            </m:r>
          </m:e>
          <m:sub>
            <m:r>
              <m:t>0</m:t>
            </m:r>
          </m:sub>
        </m:sSub>
      </m:oMath>
      <w:r>
        <w:t xml:space="preserve">. Source:</w:t>
      </w:r>
      <w:r>
        <w:t xml:space="preserve"> </w:t>
      </w:r>
      <w:r>
        <w:t xml:space="preserve">(</w:t>
      </w:r>
      <w:hyperlink w:anchor="ref-Wang2003">
        <w:r>
          <w:rPr>
            <w:rStyle w:val="Hyperlink"/>
            <w:bCs/>
            <w:b/>
          </w:rPr>
          <w:t xml:space="preserve">Wang2003?</w:t>
        </w:r>
      </w:hyperlink>
      <w:r>
        <w:t xml:space="preserve">)</w:t>
      </w:r>
      <w:r>
        <w:t xml:space="preserve">.</w:t>
      </w:r>
    </w:p>
    <w:bookmarkEnd w:id="69"/>
    <w:bookmarkStart w:id="70" w:name="tertiary-frequency-control"/>
    <w:p>
      <w:pPr>
        <w:pStyle w:val="Heading4"/>
      </w:pPr>
      <w:r>
        <w:rPr>
          <w:rStyle w:val="SectionNumber"/>
        </w:rPr>
        <w:t xml:space="preserve">4.6.2.4</w:t>
      </w:r>
      <w:r>
        <w:tab/>
      </w:r>
      <w:r>
        <w:t xml:space="preserve">Tertiary frequency control</w:t>
      </w:r>
    </w:p>
    <w:p>
      <w:pPr>
        <w:pStyle w:val="FirstParagraph"/>
      </w:pPr>
      <w:r>
        <w:t xml:space="preserve">Tertiary frequency control (TFC) is intended to replace PFC and SFC. TFC</w:t>
      </w:r>
      <w:r>
        <w:t xml:space="preserve"> </w:t>
      </w:r>
      <w:r>
        <w:t xml:space="preserve">is typically used as a margin of safety in systems where relatively</w:t>
      </w:r>
      <w:r>
        <w:t xml:space="preserve"> </w:t>
      </w:r>
      <w:r>
        <w:t xml:space="preserve">infrequent unit commitment or rescheduling processes may be required to</w:t>
      </w:r>
      <w:r>
        <w:t xml:space="preserve"> </w:t>
      </w:r>
      <w:r>
        <w:t xml:space="preserve">correct an active power imbalance</w:t>
      </w:r>
      <w:r>
        <w:t xml:space="preserve"> </w:t>
      </w:r>
      <w:r>
        <w:t xml:space="preserve">(</w:t>
      </w:r>
      <w:hyperlink w:anchor="ref-Hewicker2020">
        <w:r>
          <w:rPr>
            <w:rStyle w:val="Hyperlink"/>
            <w:bCs/>
            <w:b/>
          </w:rPr>
          <w:t xml:space="preserve">Hewicker2020?</w:t>
        </w:r>
      </w:hyperlink>
      <w:r>
        <w:t xml:space="preserve">)</w:t>
      </w:r>
      <w:r>
        <w:t xml:space="preserve">. Some systems, such as</w:t>
      </w:r>
      <w:r>
        <w:t xml:space="preserve"> </w:t>
      </w:r>
      <w:r>
        <w:t xml:space="preserve">the NEM, do not procure TFR and instead rely solely upon a SCED that is</w:t>
      </w:r>
      <w:r>
        <w:t xml:space="preserve"> </w:t>
      </w:r>
      <w:r>
        <w:t xml:space="preserve">frequently executed</w:t>
      </w:r>
      <w:r>
        <w:t xml:space="preserve"> </w:t>
      </w:r>
      <w:r>
        <w:t xml:space="preserve">(</w:t>
      </w:r>
      <w:hyperlink w:anchor="ref-Billimoria2020">
        <w:r>
          <w:rPr>
            <w:rStyle w:val="Hyperlink"/>
            <w:bCs/>
            <w:b/>
          </w:rPr>
          <w:t xml:space="preserve">Billimoria2020?</w:t>
        </w:r>
      </w:hyperlink>
      <w:r>
        <w:t xml:space="preserve">)</w:t>
      </w:r>
      <w:r>
        <w:t xml:space="preserve">.</w:t>
      </w:r>
    </w:p>
    <w:bookmarkEnd w:id="70"/>
    <w:bookmarkStart w:id="71" w:name="dispatch-and-unit-commitment"/>
    <w:p>
      <w:pPr>
        <w:pStyle w:val="Heading4"/>
      </w:pPr>
      <w:r>
        <w:rPr>
          <w:rStyle w:val="SectionNumber"/>
        </w:rPr>
        <w:t xml:space="preserve">4.6.2.5</w:t>
      </w:r>
      <w:r>
        <w:tab/>
      </w:r>
      <w:r>
        <w:t xml:space="preserve">Dispatch and unit commitment</w:t>
      </w:r>
    </w:p>
    <w:bookmarkEnd w:id="71"/>
    <w:bookmarkStart w:id="72" w:name="security-constrained-economic-dispatch"/>
    <w:p>
      <w:pPr>
        <w:pStyle w:val="Heading4"/>
      </w:pPr>
      <w:r>
        <w:rPr>
          <w:rStyle w:val="SectionNumber"/>
        </w:rPr>
        <w:t xml:space="preserve">4.6.2.6</w:t>
      </w:r>
      <w:r>
        <w:tab/>
      </w:r>
      <w:r>
        <w:t xml:space="preserve">Security-constrained economic dispatch</w:t>
      </w:r>
    </w:p>
    <w:p>
      <w:pPr>
        <w:pStyle w:val="FirstParagraph"/>
      </w:pPr>
      <w:r>
        <w:t xml:space="preserve">SCED aims to determine the minimum cost operating configuration for</w:t>
      </w:r>
      <w:r>
        <w:t xml:space="preserve"> </w:t>
      </w:r>
      <w:r>
        <w:t xml:space="preserve">committed generation such that a short-term forecast or actual demand</w:t>
      </w:r>
      <w:r>
        <w:t xml:space="preserve"> </w:t>
      </w:r>
      <w:r>
        <w:t xml:space="preserve">can be met subject to subject to network constraints and stability and</w:t>
      </w:r>
      <w:r>
        <w:t xml:space="preserve"> </w:t>
      </w:r>
      <w:r>
        <w:t xml:space="preserve">reliability requirements</w:t>
      </w:r>
      <w:r>
        <w:t xml:space="preserve"> </w:t>
      </w:r>
      <w:r>
        <w:t xml:space="preserve">(</w:t>
      </w:r>
      <w:hyperlink w:anchor="ref-Grainger1994">
        <w:r>
          <w:rPr>
            <w:rStyle w:val="Hyperlink"/>
            <w:bCs/>
            <w:b/>
          </w:rPr>
          <w:t xml:space="preserve">Grainger1994?</w:t>
        </w:r>
      </w:hyperlink>
      <w:r>
        <w:t xml:space="preserve">;</w:t>
      </w:r>
      <w:r>
        <w:t xml:space="preserve"> </w:t>
      </w:r>
      <w:hyperlink w:anchor="ref-Wood2014">
        <w:r>
          <w:rPr>
            <w:rStyle w:val="Hyperlink"/>
            <w:bCs/>
            <w:b/>
          </w:rPr>
          <w:t xml:space="preserve">Wood2014?</w:t>
        </w:r>
      </w:hyperlink>
      <w:r>
        <w:t xml:space="preserve">)</w:t>
      </w:r>
      <w:r>
        <w:t xml:space="preserve">. As generators</w:t>
      </w:r>
      <w:r>
        <w:t xml:space="preserve"> </w:t>
      </w:r>
      <w:r>
        <w:t xml:space="preserve">typically submit offers for generation (and in some cases, frequency</w:t>
      </w:r>
      <w:r>
        <w:t xml:space="preserve"> </w:t>
      </w:r>
      <w:r>
        <w:t xml:space="preserve">control) as piecewise linear cost functions, the SCED problem is less</w:t>
      </w:r>
      <w:r>
        <w:t xml:space="preserve"> </w:t>
      </w:r>
      <w:r>
        <w:t xml:space="preserve">computationally complex than SCUC and can be solved using linear</w:t>
      </w:r>
      <w:r>
        <w:t xml:space="preserve"> </w:t>
      </w:r>
      <w:r>
        <w:t xml:space="preserve">programming techniques</w:t>
      </w:r>
      <w:r>
        <w:t xml:space="preserve"> </w:t>
      </w:r>
      <w:r>
        <w:t xml:space="preserve">(</w:t>
      </w:r>
      <w:hyperlink w:anchor="ref-Wood2014">
        <w:r>
          <w:rPr>
            <w:rStyle w:val="Hyperlink"/>
            <w:bCs/>
            <w:b/>
          </w:rPr>
          <w:t xml:space="preserve">Wood2014?</w:t>
        </w:r>
      </w:hyperlink>
      <w:r>
        <w:t xml:space="preserve">)</w:t>
      </w:r>
      <w:r>
        <w:t xml:space="preserve">. For a given real-time market</w:t>
      </w:r>
      <w:r>
        <w:t xml:space="preserve"> </w:t>
      </w:r>
      <w:r>
        <w:t xml:space="preserve">interval, SCED produces a set of physically and financially binding</w:t>
      </w:r>
      <w:r>
        <w:t xml:space="preserve"> </w:t>
      </w:r>
      <w:r>
        <w:t xml:space="preserve">dispatch instructions, which include generation setpoints and enablement</w:t>
      </w:r>
      <w:r>
        <w:t xml:space="preserve"> </w:t>
      </w:r>
      <w:r>
        <w:t xml:space="preserve">for frequency control services, and locational marginal prices for</w:t>
      </w:r>
      <w:r>
        <w:t xml:space="preserve"> </w:t>
      </w:r>
      <w:r>
        <w:t xml:space="preserve">energy and frequency control services</w:t>
      </w:r>
      <w:r>
        <w:t xml:space="preserve"> </w:t>
      </w:r>
      <w:r>
        <w:t xml:space="preserve">(</w:t>
      </w:r>
      <w:hyperlink w:anchor="ref-Cramton2017">
        <w:r>
          <w:rPr>
            <w:rStyle w:val="Hyperlink"/>
            <w:bCs/>
            <w:b/>
          </w:rPr>
          <w:t xml:space="preserve">Cramton2017?</w:t>
        </w:r>
      </w:hyperlink>
      <w:r>
        <w:t xml:space="preserve">)</w:t>
      </w:r>
      <w:r>
        <w:t xml:space="preserve">. In multi-platform</w:t>
      </w:r>
      <w:r>
        <w:t xml:space="preserve"> </w:t>
      </w:r>
      <w:r>
        <w:t xml:space="preserve">markets such as the ISO/RTO markets, SCED is considered a sub-problem of</w:t>
      </w:r>
      <w:r>
        <w:t xml:space="preserve"> </w:t>
      </w:r>
      <w:r>
        <w:t xml:space="preserve">unit commitment and is run for every real-time market interval ( 5-15</w:t>
      </w:r>
      <w:r>
        <w:t xml:space="preserve"> </w:t>
      </w:r>
      <w:r>
        <w:t xml:space="preserve">minutes)</w:t>
      </w:r>
      <w:r>
        <w:t xml:space="preserve"> </w:t>
      </w:r>
      <w:r>
        <w:t xml:space="preserve">(</w:t>
      </w:r>
      <w:hyperlink w:anchor="ref-Wood2014">
        <w:r>
          <w:rPr>
            <w:rStyle w:val="Hyperlink"/>
            <w:bCs/>
            <w:b/>
          </w:rPr>
          <w:t xml:space="preserve">Wood2014?</w:t>
        </w:r>
      </w:hyperlink>
      <w:r>
        <w:t xml:space="preserve">;</w:t>
      </w:r>
      <w:r>
        <w:t xml:space="preserve"> </w:t>
      </w:r>
      <w:hyperlink w:anchor="Xd11bffbf5d3f1649926188c421055c9fe514a8b">
        <w:r>
          <w:rPr>
            <w:rStyle w:val="Hyperlink"/>
            <w:bCs/>
            <w:b/>
          </w:rPr>
          <w:t xml:space="preserve">InternationalRenewableEnergyAgency2019?</w:t>
        </w:r>
      </w:hyperlink>
      <w:r>
        <w:t xml:space="preserve">)</w:t>
      </w:r>
      <w:r>
        <w:t xml:space="preserve">. In</w:t>
      </w:r>
      <w:r>
        <w:t xml:space="preserve"> </w:t>
      </w:r>
      <w:r>
        <w:t xml:space="preserve">single-platform markets, such as the NEM, market participants manage</w:t>
      </w:r>
      <w:r>
        <w:t xml:space="preserve"> </w:t>
      </w:r>
      <w:r>
        <w:t xml:space="preserve">their own unit commitment and SCED is the only market process that</w:t>
      </w:r>
      <w:r>
        <w:t xml:space="preserve"> </w:t>
      </w:r>
      <w:r>
        <w:t xml:space="preserve">produces a binding schedule</w:t>
      </w:r>
      <w:r>
        <w:t xml:space="preserve"> </w:t>
      </w:r>
      <w:r>
        <w:t xml:space="preserve">(</w:t>
      </w:r>
      <w:hyperlink w:anchor="ref-AustralianEnergyRegulator2016">
        <w:r>
          <w:rPr>
            <w:rStyle w:val="Hyperlink"/>
            <w:bCs/>
            <w:b/>
          </w:rPr>
          <w:t xml:space="preserve">AustralianEnergyRegulator2016?</w:t>
        </w:r>
      </w:hyperlink>
      <w:r>
        <w:t xml:space="preserve">)</w:t>
      </w:r>
      <w:r>
        <w:t xml:space="preserve">.</w:t>
      </w:r>
    </w:p>
    <w:bookmarkEnd w:id="72"/>
    <w:bookmarkStart w:id="73" w:name="security-constrained-unit-commitment"/>
    <w:p>
      <w:pPr>
        <w:pStyle w:val="Heading4"/>
      </w:pPr>
      <w:r>
        <w:rPr>
          <w:rStyle w:val="SectionNumber"/>
        </w:rPr>
        <w:t xml:space="preserve">4.6.2.7</w:t>
      </w:r>
      <w:r>
        <w:tab/>
      </w:r>
      <w:r>
        <w:t xml:space="preserve">Security-constrained unit commitment</w:t>
      </w:r>
    </w:p>
    <w:p>
      <w:pPr>
        <w:pStyle w:val="FirstParagraph"/>
      </w:pPr>
      <w:r>
        <w:t xml:space="preserve">The aim of SCUC is to determine the minimum cost subset of generation</w:t>
      </w:r>
      <w:r>
        <w:t xml:space="preserve"> </w:t>
      </w:r>
      <w:r>
        <w:t xml:space="preserve">that should be committed (i.e. synchronised and ready to deliver power</w:t>
      </w:r>
      <w:r>
        <w:t xml:space="preserve"> </w:t>
      </w:r>
      <w:r>
        <w:t xml:space="preserve">to the power system) to meet a demand forecast for a set of future</w:t>
      </w:r>
      <w:r>
        <w:t xml:space="preserve"> </w:t>
      </w:r>
      <w:r>
        <w:t xml:space="preserve">market intervals subject to network constraints and stability and</w:t>
      </w:r>
      <w:r>
        <w:t xml:space="preserve"> </w:t>
      </w:r>
      <w:r>
        <w:t xml:space="preserve">reliability requirements</w:t>
      </w:r>
      <w:r>
        <w:t xml:space="preserve"> </w:t>
      </w:r>
      <w:r>
        <w:t xml:space="preserve">(</w:t>
      </w:r>
      <w:hyperlink w:anchor="ref-Wood2014">
        <w:r>
          <w:rPr>
            <w:rStyle w:val="Hyperlink"/>
            <w:bCs/>
            <w:b/>
          </w:rPr>
          <w:t xml:space="preserve">Wood2014?</w:t>
        </w:r>
      </w:hyperlink>
      <w:r>
        <w:t xml:space="preserve">)</w:t>
      </w:r>
      <w:r>
        <w:t xml:space="preserve">. SCUC is a computationally complex</w:t>
      </w:r>
      <w:r>
        <w:t xml:space="preserve"> </w:t>
      </w:r>
      <w:r>
        <w:t xml:space="preserve">non-linear problem in many electricity markets because it considers</w:t>
      </w:r>
      <w:r>
        <w:t xml:space="preserve"> </w:t>
      </w:r>
      <w:r>
        <w:t xml:space="preserve">non-convexities such as start-up costs and minimum operating costs in</w:t>
      </w:r>
      <w:r>
        <w:t xml:space="preserve"> </w:t>
      </w:r>
      <w:r>
        <w:t xml:space="preserve">addition to an offer for energy</w:t>
      </w:r>
      <w:r>
        <w:t xml:space="preserve"> </w:t>
      </w:r>
      <w:r>
        <w:t xml:space="preserve">(</w:t>
      </w:r>
      <w:hyperlink w:anchor="ref-Cramton2017">
        <w:r>
          <w:rPr>
            <w:rStyle w:val="Hyperlink"/>
            <w:bCs/>
            <w:b/>
          </w:rPr>
          <w:t xml:space="preserve">Cramton2017?</w:t>
        </w:r>
      </w:hyperlink>
      <w:r>
        <w:t xml:space="preserve">;</w:t>
      </w:r>
      <w:r>
        <w:t xml:space="preserve"> </w:t>
      </w:r>
      <w:hyperlink w:anchor="ref-Isemonger2009">
        <w:r>
          <w:rPr>
            <w:rStyle w:val="Hyperlink"/>
            <w:bCs/>
            <w:b/>
          </w:rPr>
          <w:t xml:space="preserve">Isemonger2009?</w:t>
        </w:r>
      </w:hyperlink>
      <w:r>
        <w:t xml:space="preserve">)</w:t>
      </w:r>
      <w:r>
        <w:t xml:space="preserve">. The</w:t>
      </w:r>
      <w:r>
        <w:t xml:space="preserve"> </w:t>
      </w:r>
      <w:r>
        <w:t xml:space="preserve">outcomes of solving this problem are an ahead schedule, which is often</w:t>
      </w:r>
      <w:r>
        <w:t xml:space="preserve"> </w:t>
      </w:r>
      <w:r>
        <w:t xml:space="preserve">only financially binding, and locational marginal prices for energy and</w:t>
      </w:r>
      <w:r>
        <w:t xml:space="preserve"> </w:t>
      </w:r>
      <w:r>
        <w:t xml:space="preserve">frequency control services for a future set of market intervals, such as</w:t>
      </w:r>
      <w:r>
        <w:t xml:space="preserve"> </w:t>
      </w:r>
      <w:r>
        <w:t xml:space="preserve">the next day when SCUC is executed in day-ahead markets. SCUC can be</w:t>
      </w:r>
      <w:r>
        <w:t xml:space="preserve"> </w:t>
      </w:r>
      <w:r>
        <w:t xml:space="preserve">beneficial for market participants that wish to hedge their production</w:t>
      </w:r>
      <w:r>
        <w:t xml:space="preserve"> </w:t>
      </w:r>
      <w:r>
        <w:t xml:space="preserve">or consumption</w:t>
      </w:r>
      <w:r>
        <w:t xml:space="preserve"> </w:t>
      </w:r>
      <w:r>
        <w:t xml:space="preserve">(</w:t>
      </w:r>
      <w:hyperlink w:anchor="ref-Isemonger2006">
        <w:r>
          <w:rPr>
            <w:rStyle w:val="Hyperlink"/>
            <w:bCs/>
            <w:b/>
          </w:rPr>
          <w:t xml:space="preserve">Isemonger2006?</w:t>
        </w:r>
      </w:hyperlink>
      <w:r>
        <w:t xml:space="preserve">)</w:t>
      </w:r>
      <w:r>
        <w:t xml:space="preserve">. Furthermore, it offers certainty around</w:t>
      </w:r>
      <w:r>
        <w:t xml:space="preserve"> </w:t>
      </w:r>
      <w:r>
        <w:t xml:space="preserve">power system outcomes to the system operator, and around market outcomes</w:t>
      </w:r>
      <w:r>
        <w:t xml:space="preserve"> </w:t>
      </w:r>
      <w:r>
        <w:t xml:space="preserve">to generators that have long lead times and significant costs associated</w:t>
      </w:r>
      <w:r>
        <w:t xml:space="preserve"> </w:t>
      </w:r>
      <w:r>
        <w:t xml:space="preserve">with commitment (e.g. baseload coal power plant) or generators that</w:t>
      </w:r>
      <w:r>
        <w:t xml:space="preserve"> </w:t>
      </w:r>
      <w:r>
        <w:t xml:space="preserve">primarily consider opportunity costs, rather than marginal costs, when</w:t>
      </w:r>
      <w:r>
        <w:t xml:space="preserve"> </w:t>
      </w:r>
      <w:r>
        <w:t xml:space="preserve">determining whether it is profitable to provide energy (e.g.</w:t>
      </w:r>
      <w:r>
        <w:t xml:space="preserve"> </w:t>
      </w:r>
      <w:r>
        <w:t xml:space="preserve">hydroelectric power plants, battery energy storage systems)</w:t>
      </w:r>
      <w:r>
        <w:t xml:space="preserve"> </w:t>
      </w:r>
      <w:r>
        <w:t xml:space="preserve">(</w:t>
      </w:r>
      <w:hyperlink w:anchor="ref-Wood2014">
        <w:r>
          <w:rPr>
            <w:rStyle w:val="Hyperlink"/>
            <w:bCs/>
            <w:b/>
          </w:rPr>
          <w:t xml:space="preserve">Wood2014?</w:t>
        </w:r>
      </w:hyperlink>
      <w:r>
        <w:t xml:space="preserve">;</w:t>
      </w:r>
      <w:r>
        <w:t xml:space="preserve"> </w:t>
      </w:r>
      <w:hyperlink w:anchor="ref-Cadwalader1998ReliabilityPricing">
        <w:r>
          <w:rPr>
            <w:rStyle w:val="Hyperlink"/>
            <w:bCs/>
            <w:b/>
          </w:rPr>
          <w:t xml:space="preserve">Cadwalader1998ReliabilityPricing?</w:t>
        </w:r>
      </w:hyperlink>
      <w:r>
        <w:t xml:space="preserve">)</w:t>
      </w:r>
      <w:r>
        <w:t xml:space="preserve">.</w:t>
      </w:r>
    </w:p>
    <w:bookmarkEnd w:id="73"/>
    <w:bookmarkStart w:id="74" w:name="longer-term-scheduling"/>
    <w:p>
      <w:pPr>
        <w:pStyle w:val="Heading4"/>
      </w:pPr>
      <w:r>
        <w:rPr>
          <w:rStyle w:val="SectionNumber"/>
        </w:rPr>
        <w:t xml:space="preserve">4.6.2.8</w:t>
      </w:r>
      <w:r>
        <w:tab/>
      </w:r>
      <w:r>
        <w:t xml:space="preserve">Longer-term scheduling</w:t>
      </w:r>
    </w:p>
    <w:bookmarkEnd w:id="74"/>
    <w:bookmarkEnd w:id="75"/>
    <w:bookmarkStart w:id="82" w:name="emerging-challenges"/>
    <w:p>
      <w:pPr>
        <w:pStyle w:val="Heading3"/>
      </w:pPr>
      <w:r>
        <w:rPr>
          <w:rStyle w:val="SectionNumber"/>
        </w:rPr>
        <w:t xml:space="preserve">4.6.3</w:t>
      </w:r>
      <w:r>
        <w:tab/>
      </w:r>
      <w:r>
        <w:t xml:space="preserve">Emerging challenges</w:t>
      </w:r>
    </w:p>
    <w:bookmarkStart w:id="81" w:name="sec:ibr_freq"/>
    <w:p>
      <w:pPr>
        <w:pStyle w:val="Heading4"/>
      </w:pPr>
      <w:r>
        <w:rPr>
          <w:rStyle w:val="SectionNumber"/>
        </w:rPr>
        <w:t xml:space="preserve">4.6.3.1</w:t>
      </w:r>
      <w:r>
        <w:tab/>
      </w:r>
      <w:r>
        <w:t xml:space="preserve">Inverter-based resources and frequency control</w:t>
      </w:r>
    </w:p>
    <w:p>
      <w:pPr>
        <w:pStyle w:val="FirstParagraph"/>
      </w:pPr>
      <w:r>
        <w:t xml:space="preserve">Inverter-based resources (IBR) include variable IBR (solar PV and Type</w:t>
      </w:r>
      <w:r>
        <w:t xml:space="preserve"> </w:t>
      </w:r>
      <w:r>
        <w:t xml:space="preserve">III and Type IV wind turbines</w:t>
      </w:r>
      <w:r>
        <w:t xml:space="preserve"> </w:t>
      </w:r>
      <w:r>
        <w:t xml:space="preserve">(</w:t>
      </w:r>
      <w:hyperlink w:anchor="ref-Wu2018">
        <w:r>
          <w:rPr>
            <w:rStyle w:val="Hyperlink"/>
            <w:bCs/>
            <w:b/>
          </w:rPr>
          <w:t xml:space="preserve">Wu2018?</w:t>
        </w:r>
      </w:hyperlink>
      <w:r>
        <w:t xml:space="preserve">)</w:t>
      </w:r>
      <w:r>
        <w:t xml:space="preserve">), BESS and high voltage direct</w:t>
      </w:r>
      <w:r>
        <w:t xml:space="preserve"> </w:t>
      </w:r>
      <w:r>
        <w:t xml:space="preserve">current (HVDC) links that connect to a power system through power</w:t>
      </w:r>
      <w:r>
        <w:t xml:space="preserve"> </w:t>
      </w:r>
      <w:r>
        <w:t xml:space="preserve">electronic devices. The impacts of variable IBR on frequency control are</w:t>
      </w:r>
      <w:r>
        <w:t xml:space="preserve"> </w:t>
      </w:r>
      <w:r>
        <w:t xml:space="preserve">of particular interest to system operators and market designers as many</w:t>
      </w:r>
      <w:r>
        <w:t xml:space="preserve"> </w:t>
      </w:r>
      <w:r>
        <w:t xml:space="preserve">power systems are currently experiencing high instantaneous penetrations</w:t>
      </w:r>
      <w:r>
        <w:t xml:space="preserve"> </w:t>
      </w:r>
      <w:r>
        <w:t xml:space="preserve">of variable IBR (in excess of 50%) and because many more are expected to</w:t>
      </w:r>
      <w:r>
        <w:t xml:space="preserve"> </w:t>
      </w:r>
      <w:r>
        <w:t xml:space="preserve">do so in the future</w:t>
      </w:r>
      <w:r>
        <w:t xml:space="preserve"> </w:t>
      </w:r>
      <w:r>
        <w:t xml:space="preserve">(</w:t>
      </w:r>
      <w:hyperlink w:anchor="ref-AustralianEnergyMarketOperator2019">
        <w:r>
          <w:rPr>
            <w:rStyle w:val="Hyperlink"/>
            <w:bCs/>
            <w:b/>
          </w:rPr>
          <w:t xml:space="preserve">AustralianEnergyMarketOperator2019?</w:t>
        </w:r>
      </w:hyperlink>
      <w:r>
        <w:t xml:space="preserve">;</w:t>
      </w:r>
      <w:r>
        <w:t xml:space="preserve"> </w:t>
      </w:r>
      <w:hyperlink w:anchor="ref-IRENA2020">
        <w:r>
          <w:rPr>
            <w:rStyle w:val="Hyperlink"/>
            <w:bCs/>
            <w:b/>
          </w:rPr>
          <w:t xml:space="preserve">IRENA2020?</w:t>
        </w:r>
      </w:hyperlink>
      <w:r>
        <w:t xml:space="preserve">)</w:t>
      </w:r>
      <w:r>
        <w:t xml:space="preserve">.</w:t>
      </w:r>
    </w:p>
    <w:bookmarkStart w:id="78" w:name="X43caa0f18789abf8aa56aef9c06b5a1b7c016ce"/>
    <w:p>
      <w:pPr>
        <w:pStyle w:val="Heading5"/>
      </w:pPr>
      <w:r>
        <w:rPr>
          <w:rStyle w:val="SectionNumber"/>
        </w:rPr>
        <w:t xml:space="preserve">4.6.3.1.1</w:t>
      </w:r>
      <w:r>
        <w:tab/>
      </w:r>
      <w:r>
        <w:t xml:space="preserve">Challenges posed by inverter-based resources</w:t>
      </w:r>
    </w:p>
    <w:p>
      <w:pPr>
        <w:pStyle w:val="FirstParagraph"/>
      </w:pPr>
      <w:r>
        <w:t xml:space="preserve">High penetrations of IBR in power systems pose challenges to frequency</w:t>
      </w:r>
      <w:r>
        <w:t xml:space="preserve"> </w:t>
      </w:r>
      <w:r>
        <w:t xml:space="preserve">control due to their characteristics, particularly in islanded power</w:t>
      </w:r>
      <w:r>
        <w:t xml:space="preserve"> </w:t>
      </w:r>
      <w:r>
        <w:t xml:space="preserve">systems or weakly-interconnected control areas that cannot rely on a</w:t>
      </w:r>
      <w:r>
        <w:t xml:space="preserve"> </w:t>
      </w:r>
      <w:r>
        <w:t xml:space="preserve">wider synchronous area for frequency control services</w:t>
      </w:r>
      <w:r>
        <w:t xml:space="preserve"> </w:t>
      </w:r>
      <w:r>
        <w:t xml:space="preserve">(</w:t>
      </w:r>
      <w:hyperlink w:anchor="ref-Hodge2020">
        <w:r>
          <w:rPr>
            <w:rStyle w:val="Hyperlink"/>
            <w:bCs/>
            <w:b/>
          </w:rPr>
          <w:t xml:space="preserve">Hodge2020?</w:t>
        </w:r>
      </w:hyperlink>
      <w:r>
        <w:t xml:space="preserve">)</w:t>
      </w:r>
      <w:r>
        <w:t xml:space="preserve">.</w:t>
      </w:r>
      <w:r>
        <w:t xml:space="preserve"> </w:t>
      </w:r>
      <w:r>
        <w:t xml:space="preserve">These include</w:t>
      </w:r>
      <w:r>
        <w:t xml:space="preserve"> </w:t>
      </w:r>
      <w:r>
        <w:t xml:space="preserve">(</w:t>
      </w:r>
      <w:hyperlink w:anchor="ref-Kroposki2019">
        <w:r>
          <w:rPr>
            <w:rStyle w:val="Hyperlink"/>
            <w:bCs/>
            <w:b/>
          </w:rPr>
          <w:t xml:space="preserve">Kroposki2019?</w:t>
        </w:r>
      </w:hyperlink>
      <w:r>
        <w:t xml:space="preserve">)</w:t>
      </w:r>
      <w:r>
        <w:t xml:space="preserve">:</w:t>
      </w:r>
    </w:p>
    <w:bookmarkStart w:id="76" w:name="interface-to-power-system"/>
    <w:p>
      <w:pPr>
        <w:pStyle w:val="Heading6"/>
      </w:pPr>
      <w:r>
        <w:rPr>
          <w:rStyle w:val="SectionNumber"/>
        </w:rPr>
        <w:t xml:space="preserve">4.6.3.1.1.1</w:t>
      </w:r>
      <w:r>
        <w:tab/>
      </w:r>
      <w:r>
        <w:t xml:space="preserve">Interface to power system</w:t>
      </w:r>
    </w:p>
    <w:p>
      <w:pPr>
        <w:pStyle w:val="FirstParagraph"/>
      </w:pPr>
      <w:r>
        <w:t xml:space="preserve">As IBR interface to a synchronous area through inverters, they are not</w:t>
      </w:r>
      <w:r>
        <w:t xml:space="preserve"> </w:t>
      </w:r>
      <w:r>
        <w:t xml:space="preserve">electromagnetically coupled to the power system and therefore do not</w:t>
      </w:r>
      <w:r>
        <w:t xml:space="preserve"> </w:t>
      </w:r>
      <w:r>
        <w:t xml:space="preserve">exhibit the inherent inertial response of synchronous generators. This</w:t>
      </w:r>
      <w:r>
        <w:t xml:space="preserve"> </w:t>
      </w:r>
      <w:r>
        <w:t xml:space="preserve">has two main implications. The first is that reduced inertial response</w:t>
      </w:r>
      <w:r>
        <w:t xml:space="preserve"> </w:t>
      </w:r>
      <w:r>
        <w:t xml:space="preserve">may affect power system stability during transients (e.g. rotor angle</w:t>
      </w:r>
      <w:r>
        <w:t xml:space="preserve"> </w:t>
      </w:r>
      <w:r>
        <w:t xml:space="preserve">stability)</w:t>
      </w:r>
      <w:r>
        <w:t xml:space="preserve"> </w:t>
      </w:r>
      <w:r>
        <w:t xml:space="preserve">(</w:t>
      </w:r>
      <w:hyperlink w:anchor="ref-Tielens2016">
        <w:r>
          <w:rPr>
            <w:rStyle w:val="Hyperlink"/>
            <w:bCs/>
            <w:b/>
          </w:rPr>
          <w:t xml:space="preserve">Tielens2016?</w:t>
        </w:r>
      </w:hyperlink>
      <w:r>
        <w:t xml:space="preserve">)</w:t>
      </w:r>
      <w:r>
        <w:t xml:space="preserve">, and the second is that a lack of inertia in</w:t>
      </w:r>
      <w:r>
        <w:t xml:space="preserve"> </w:t>
      </w:r>
      <w:r>
        <w:t xml:space="preserve">the power system can lead to higher RoCoF and therefore more severe</w:t>
      </w:r>
      <w:r>
        <w:t xml:space="preserve"> </w:t>
      </w:r>
      <w:r>
        <w:t xml:space="preserve">frequency nadirs or zeniths and the tripping of emergency protection</w:t>
      </w:r>
      <w:r>
        <w:t xml:space="preserve"> </w:t>
      </w:r>
      <w:r>
        <w:t xml:space="preserve">schemes that would otherwise not occur in high inertia systems</w:t>
      </w:r>
      <w:r>
        <w:t xml:space="preserve"> </w:t>
      </w:r>
      <w:r>
        <w:t xml:space="preserve">(</w:t>
      </w:r>
      <w:hyperlink w:anchor="ref-Machowski2020">
        <w:r>
          <w:rPr>
            <w:rStyle w:val="Hyperlink"/>
            <w:bCs/>
            <w:b/>
          </w:rPr>
          <w:t xml:space="preserve">Machowski2020?</w:t>
        </w:r>
      </w:hyperlink>
      <w:r>
        <w:t xml:space="preserve">;</w:t>
      </w:r>
      <w:r>
        <w:t xml:space="preserve"> </w:t>
      </w:r>
      <w:hyperlink w:anchor="ref-Ulbig2014">
        <w:r>
          <w:rPr>
            <w:rStyle w:val="Hyperlink"/>
            <w:bCs/>
            <w:b/>
          </w:rPr>
          <w:t xml:space="preserve">Ulbig2014?</w:t>
        </w:r>
      </w:hyperlink>
      <w:r>
        <w:t xml:space="preserve">;</w:t>
      </w:r>
      <w:r>
        <w:t xml:space="preserve"> </w:t>
      </w:r>
      <w:hyperlink w:anchor="ref-Hartmann2019">
        <w:r>
          <w:rPr>
            <w:rStyle w:val="Hyperlink"/>
            <w:bCs/>
            <w:b/>
          </w:rPr>
          <w:t xml:space="preserve">Hartmann2019?</w:t>
        </w:r>
      </w:hyperlink>
      <w:r>
        <w:t xml:space="preserve">;</w:t>
      </w:r>
      <w:r>
        <w:t xml:space="preserve"> </w:t>
      </w:r>
      <w:hyperlink w:anchor="ref-Dreidy2017">
        <w:r>
          <w:rPr>
            <w:rStyle w:val="Hyperlink"/>
            <w:bCs/>
            <w:b/>
          </w:rPr>
          <w:t xml:space="preserve">Dreidy2017?</w:t>
        </w:r>
      </w:hyperlink>
      <w:r>
        <w:t xml:space="preserve">)</w:t>
      </w:r>
      <w:r>
        <w:t xml:space="preserve">.</w:t>
      </w:r>
    </w:p>
    <w:bookmarkEnd w:id="76"/>
    <w:bookmarkStart w:id="77" w:name="variability-and-uncertainty"/>
    <w:p>
      <w:pPr>
        <w:pStyle w:val="Heading6"/>
      </w:pPr>
      <w:r>
        <w:rPr>
          <w:rStyle w:val="SectionNumber"/>
        </w:rPr>
        <w:t xml:space="preserve">4.6.3.1.1.2</w:t>
      </w:r>
      <w:r>
        <w:tab/>
      </w:r>
      <w:r>
        <w:t xml:space="preserve">Variability and uncertainty</w:t>
      </w:r>
    </w:p>
    <w:p>
      <w:pPr>
        <w:pStyle w:val="FirstParagraph"/>
      </w:pPr>
      <w:r>
        <w:t xml:space="preserve">The aggregate degree of power system variability and uncertainty is</w:t>
      </w:r>
      <w:r>
        <w:t xml:space="preserve"> </w:t>
      </w:r>
      <w:r>
        <w:t xml:space="preserve">likely to increase with higher penetrations of variable IBR</w:t>
      </w:r>
      <w:r>
        <w:t xml:space="preserve"> </w:t>
      </w:r>
      <w:r>
        <w:t xml:space="preserve">(</w:t>
      </w:r>
      <w:hyperlink w:anchor="ref-Riesz2015a">
        <w:r>
          <w:rPr>
            <w:rStyle w:val="Hyperlink"/>
            <w:bCs/>
            <w:b/>
          </w:rPr>
          <w:t xml:space="preserve">Riesz2015a?</w:t>
        </w:r>
      </w:hyperlink>
      <w:r>
        <w:t xml:space="preserve">;</w:t>
      </w:r>
      <w:r>
        <w:t xml:space="preserve"> </w:t>
      </w:r>
      <w:hyperlink w:anchor="ref-AustralianEnergyMarketOperator2020b">
        <w:r>
          <w:rPr>
            <w:rStyle w:val="Hyperlink"/>
            <w:bCs/>
            <w:b/>
          </w:rPr>
          <w:t xml:space="preserve">AustralianEnergyMarketOperator2020b?</w:t>
        </w:r>
      </w:hyperlink>
      <w:r>
        <w:t xml:space="preserve">)</w:t>
      </w:r>
      <w:r>
        <w:t xml:space="preserve">. Variability not</w:t>
      </w:r>
      <w:r>
        <w:t xml:space="preserve"> </w:t>
      </w:r>
      <w:r>
        <w:t xml:space="preserve">only encompasses active power output variability during a dispatch</w:t>
      </w:r>
      <w:r>
        <w:t xml:space="preserve"> </w:t>
      </w:r>
      <w:r>
        <w:t xml:space="preserve">interval, which depends on the primary energy source and plant location</w:t>
      </w:r>
      <w:r>
        <w:t xml:space="preserve"> </w:t>
      </w:r>
      <w:r>
        <w:t xml:space="preserve">and configuration, but also includes large ramps due to the correlated</w:t>
      </w:r>
      <w:r>
        <w:t xml:space="preserve"> </w:t>
      </w:r>
      <w:r>
        <w:t xml:space="preserve">active power output of variable IBR over longer timeframes</w:t>
      </w:r>
      <w:r>
        <w:t xml:space="preserve"> </w:t>
      </w:r>
      <w:r>
        <w:t xml:space="preserve">(</w:t>
      </w:r>
      <w:hyperlink w:anchor="ref-Keeratimahat2019a">
        <w:r>
          <w:rPr>
            <w:rStyle w:val="Hyperlink"/>
            <w:bCs/>
            <w:b/>
          </w:rPr>
          <w:t xml:space="preserve">Keeratimahat2019a?</w:t>
        </w:r>
      </w:hyperlink>
      <w:r>
        <w:t xml:space="preserve">;</w:t>
      </w:r>
      <w:r>
        <w:t xml:space="preserve"> </w:t>
      </w:r>
      <w:hyperlink w:anchor="ref-AustralianEnergyMarketOperator2020d">
        <w:r>
          <w:rPr>
            <w:rStyle w:val="Hyperlink"/>
            <w:bCs/>
            <w:b/>
          </w:rPr>
          <w:t xml:space="preserve">AustralianEnergyMarketOperator2020d?</w:t>
        </w:r>
      </w:hyperlink>
      <w:r>
        <w:t xml:space="preserve">)</w:t>
      </w:r>
      <w:r>
        <w:t xml:space="preserve">. Power system</w:t>
      </w:r>
      <w:r>
        <w:t xml:space="preserve"> </w:t>
      </w:r>
      <w:r>
        <w:t xml:space="preserve">uncertainty will depend on the accuracy of weather and generation</w:t>
      </w:r>
      <w:r>
        <w:t xml:space="preserve"> </w:t>
      </w:r>
      <w:r>
        <w:t xml:space="preserve">forecasting, generator reliability and may also be a function of the</w:t>
      </w:r>
      <w:r>
        <w:t xml:space="preserve"> </w:t>
      </w:r>
      <w:r>
        <w:t xml:space="preserve">degree of visibility and control a system operator has over IBR,</w:t>
      </w:r>
      <w:r>
        <w:t xml:space="preserve"> </w:t>
      </w:r>
      <w:r>
        <w:t xml:space="preserve">particularly distributed energy resources such as rooftop solar PV and</w:t>
      </w:r>
      <w:r>
        <w:t xml:space="preserve"> </w:t>
      </w:r>
      <w:r>
        <w:t xml:space="preserve">electric vehicles</w:t>
      </w:r>
      <w:r>
        <w:t xml:space="preserve"> </w:t>
      </w:r>
      <w:r>
        <w:t xml:space="preserve">(</w:t>
      </w:r>
      <w:hyperlink w:anchor="ref-AustralianEnergyMarketOperator2020d">
        <w:r>
          <w:rPr>
            <w:rStyle w:val="Hyperlink"/>
            <w:bCs/>
            <w:b/>
          </w:rPr>
          <w:t xml:space="preserve">AustralianEnergyMarketOperator2020d?</w:t>
        </w:r>
      </w:hyperlink>
      <w:r>
        <w:t xml:space="preserve">;</w:t>
      </w:r>
      <w:r>
        <w:t xml:space="preserve"> </w:t>
      </w:r>
      <w:hyperlink w:anchor="ref-Wurth2019">
        <w:r>
          <w:rPr>
            <w:rStyle w:val="Hyperlink"/>
            <w:bCs/>
            <w:b/>
          </w:rPr>
          <w:t xml:space="preserve">Wurth2019?</w:t>
        </w:r>
      </w:hyperlink>
      <w:r>
        <w:t xml:space="preserve">;</w:t>
      </w:r>
      <w:r>
        <w:t xml:space="preserve"> </w:t>
      </w:r>
      <w:hyperlink w:anchor="ref-AustralianEnergyMarketOperator2020m">
        <w:r>
          <w:rPr>
            <w:rStyle w:val="Hyperlink"/>
            <w:bCs/>
            <w:b/>
          </w:rPr>
          <w:t xml:space="preserve">AustralianEnergyMarketOperator2020m?</w:t>
        </w:r>
      </w:hyperlink>
      <w:r>
        <w:t xml:space="preserve">)</w:t>
      </w:r>
      <w:r>
        <w:t xml:space="preserve">.</w:t>
      </w:r>
    </w:p>
    <w:bookmarkEnd w:id="77"/>
    <w:bookmarkEnd w:id="78"/>
    <w:bookmarkStart w:id="80" w:name="provision-of-frequency-control-services"/>
    <w:p>
      <w:pPr>
        <w:pStyle w:val="Heading5"/>
      </w:pPr>
      <w:r>
        <w:rPr>
          <w:rStyle w:val="SectionNumber"/>
        </w:rPr>
        <w:t xml:space="preserve">4.6.3.1.2</w:t>
      </w:r>
      <w:r>
        <w:tab/>
      </w:r>
      <w:r>
        <w:t xml:space="preserve">Provision of frequency control services</w:t>
      </w:r>
    </w:p>
    <w:p>
      <w:pPr>
        <w:pStyle w:val="FirstParagraph"/>
      </w:pPr>
      <w:r>
        <w:t xml:space="preserve">The presence of synchronous machines and grid-following inverters makes</w:t>
      </w:r>
      <w:r>
        <w:t xml:space="preserve"> </w:t>
      </w:r>
      <w:r>
        <w:t xml:space="preserve">inertial response and frequency control necessary for secure and stable</w:t>
      </w:r>
      <w:r>
        <w:t xml:space="preserve"> </w:t>
      </w:r>
      <w:r>
        <w:t xml:space="preserve">operation of a power system. At high instantaneous penetrations, low</w:t>
      </w:r>
      <w:r>
        <w:t xml:space="preserve"> </w:t>
      </w:r>
      <w:r>
        <w:t xml:space="preserve">short-run marginal cost IBR may displace synchronous generators that</w:t>
      </w:r>
      <w:r>
        <w:t xml:space="preserve"> </w:t>
      </w:r>
      <w:r>
        <w:t xml:space="preserve">have traditionally provided inertial response and frequency control</w:t>
      </w:r>
      <w:r>
        <w:t xml:space="preserve"> </w:t>
      </w:r>
      <w:r>
        <w:t xml:space="preserve">services, and the load damping response may be minimal</w:t>
      </w:r>
      <w:r>
        <w:t xml:space="preserve"> </w:t>
      </w:r>
      <w:r>
        <w:t xml:space="preserve">(</w:t>
      </w:r>
      <w:hyperlink w:anchor="ref-Riesz2015a">
        <w:r>
          <w:rPr>
            <w:rStyle w:val="Hyperlink"/>
            <w:bCs/>
            <w:b/>
          </w:rPr>
          <w:t xml:space="preserve">Riesz2015a?</w:t>
        </w:r>
      </w:hyperlink>
      <w:r>
        <w:t xml:space="preserve">;</w:t>
      </w:r>
      <w:r>
        <w:t xml:space="preserve"> </w:t>
      </w:r>
      <w:hyperlink w:anchor="ref-Tielens2012">
        <w:r>
          <w:rPr>
            <w:rStyle w:val="Hyperlink"/>
            <w:bCs/>
            <w:b/>
          </w:rPr>
          <w:t xml:space="preserve">Tielens2012?</w:t>
        </w:r>
      </w:hyperlink>
      <w:r>
        <w:t xml:space="preserve">)</w:t>
      </w:r>
      <w:r>
        <w:t xml:space="preserve">. In these cases, the instantaneous inertia</w:t>
      </w:r>
      <w:r>
        <w:t xml:space="preserve"> </w:t>
      </w:r>
      <w:r>
        <w:t xml:space="preserve">constant of the system may be low and IBR may be needed to assist in</w:t>
      </w:r>
      <w:r>
        <w:t xml:space="preserve"> </w:t>
      </w:r>
      <w:r>
        <w:t xml:space="preserve">frequency control</w:t>
      </w:r>
      <w:r>
        <w:t xml:space="preserve"> </w:t>
      </w:r>
      <w:r>
        <w:t xml:space="preserve">(</w:t>
      </w:r>
      <w:hyperlink w:anchor="ref-Hartmann2019">
        <w:r>
          <w:rPr>
            <w:rStyle w:val="Hyperlink"/>
            <w:bCs/>
            <w:b/>
          </w:rPr>
          <w:t xml:space="preserve">Hartmann2019?</w:t>
        </w:r>
      </w:hyperlink>
      <w:r>
        <w:t xml:space="preserve">;</w:t>
      </w:r>
      <w:r>
        <w:t xml:space="preserve"> </w:t>
      </w:r>
      <w:hyperlink w:anchor="ref-Tielens2012">
        <w:r>
          <w:rPr>
            <w:rStyle w:val="Hyperlink"/>
            <w:bCs/>
            <w:b/>
          </w:rPr>
          <w:t xml:space="preserve">Tielens2012?</w:t>
        </w:r>
      </w:hyperlink>
      <w:r>
        <w:t xml:space="preserve">)</w:t>
      </w:r>
      <w:r>
        <w:t xml:space="preserve">. Through their inverter</w:t>
      </w:r>
      <w:r>
        <w:t xml:space="preserve"> </w:t>
      </w:r>
      <w:r>
        <w:t xml:space="preserve">control system, IBR are able exercise rapid and precise control of their</w:t>
      </w:r>
      <w:r>
        <w:t xml:space="preserve"> </w:t>
      </w:r>
      <w:r>
        <w:t xml:space="preserve">active power, within the constraints of primary or stored energy, to</w:t>
      </w:r>
      <w:r>
        <w:t xml:space="preserve"> </w:t>
      </w:r>
      <w:r>
        <w:t xml:space="preserve">provide what is known as</w:t>
      </w:r>
      <w:r>
        <w:t xml:space="preserve"> </w:t>
      </w:r>
      <w:r>
        <w:rPr>
          <w:iCs/>
          <w:i/>
        </w:rPr>
        <w:t xml:space="preserve">fast frequency response</w:t>
      </w:r>
      <w:r>
        <w:t xml:space="preserve"> </w:t>
      </w:r>
      <w:r>
        <w:t xml:space="preserve">(FFR)</w:t>
      </w:r>
      <w:r>
        <w:t xml:space="preserve"> </w:t>
      </w:r>
      <w:r>
        <w:t xml:space="preserve">(</w:t>
      </w:r>
      <w:hyperlink w:anchor="ref-Machowski2020">
        <w:r>
          <w:rPr>
            <w:rStyle w:val="Hyperlink"/>
            <w:bCs/>
            <w:b/>
          </w:rPr>
          <w:t xml:space="preserve">Machowski2020?</w:t>
        </w:r>
      </w:hyperlink>
      <w:r>
        <w:t xml:space="preserve">;</w:t>
      </w:r>
      <w:r>
        <w:t xml:space="preserve"> </w:t>
      </w:r>
      <w:hyperlink w:anchor="ref-Hodge2020">
        <w:r>
          <w:rPr>
            <w:rStyle w:val="Hyperlink"/>
            <w:bCs/>
            <w:b/>
          </w:rPr>
          <w:t xml:space="preserve">Hodge2020?</w:t>
        </w:r>
      </w:hyperlink>
      <w:r>
        <w:t xml:space="preserve">)</w:t>
      </w:r>
      <w:r>
        <w:t xml:space="preserve">.</w:t>
      </w:r>
    </w:p>
    <w:bookmarkStart w:id="79" w:name="fast-frequency-response"/>
    <w:p>
      <w:pPr>
        <w:pStyle w:val="Heading6"/>
      </w:pPr>
      <w:r>
        <w:rPr>
          <w:rStyle w:val="SectionNumber"/>
        </w:rPr>
        <w:t xml:space="preserve">4.6.3.1.2.1</w:t>
      </w:r>
      <w:r>
        <w:tab/>
      </w:r>
      <w:r>
        <w:t xml:space="preserve">Fast frequency response</w:t>
      </w:r>
    </w:p>
    <w:p>
      <w:pPr>
        <w:pStyle w:val="FirstParagraph"/>
      </w:pPr>
      <w:r>
        <w:t xml:space="preserve">FFR can generally be provided within a matter of milliseconds to provide</w:t>
      </w:r>
      <w:r>
        <w:t xml:space="preserve"> </w:t>
      </w:r>
      <w:r>
        <w:t xml:space="preserve">a sustained active power response similar to PFC or to mitigate high</w:t>
      </w:r>
      <w:r>
        <w:t xml:space="preserve"> </w:t>
      </w:r>
      <w:r>
        <w:t xml:space="preserve">RoCoF events</w:t>
      </w:r>
      <w:r>
        <w:t xml:space="preserve"> </w:t>
      </w:r>
      <w:r>
        <w:t xml:space="preserve">(</w:t>
      </w:r>
      <w:hyperlink w:anchor="ref-AEMO2017a">
        <w:r>
          <w:rPr>
            <w:rStyle w:val="Hyperlink"/>
            <w:bCs/>
            <w:b/>
          </w:rPr>
          <w:t xml:space="preserve">AEMO2017a?</w:t>
        </w:r>
      </w:hyperlink>
      <w:r>
        <w:t xml:space="preserve">;</w:t>
      </w:r>
      <w:r>
        <w:t xml:space="preserve"> </w:t>
      </w:r>
      <w:hyperlink w:anchor="ref-Miller2017">
        <w:r>
          <w:rPr>
            <w:rStyle w:val="Hyperlink"/>
            <w:bCs/>
            <w:b/>
          </w:rPr>
          <w:t xml:space="preserve">Miller2017?</w:t>
        </w:r>
      </w:hyperlink>
      <w:r>
        <w:t xml:space="preserve">)</w:t>
      </w:r>
      <w:r>
        <w:t xml:space="preserve">. In response to an</w:t>
      </w:r>
      <w:r>
        <w:t xml:space="preserve"> </w:t>
      </w:r>
      <w:r>
        <w:t xml:space="preserve">under-frequency event, a sustained active power raise response, similar</w:t>
      </w:r>
      <w:r>
        <w:t xml:space="preserve"> </w:t>
      </w:r>
      <w:r>
        <w:t xml:space="preserve">to PFC, can be achieved by implementing frequency droop control in the</w:t>
      </w:r>
      <w:r>
        <w:t xml:space="preserve"> </w:t>
      </w:r>
      <w:r>
        <w:t xml:space="preserve">inverter of a BESS, or that of a variable IBR that has been</w:t>
      </w:r>
      <w:r>
        <w:t xml:space="preserve"> </w:t>
      </w:r>
      <w:r>
        <w:rPr>
          <w:iCs/>
          <w:i/>
        </w:rPr>
        <w:t xml:space="preserve">deloaded</w:t>
      </w:r>
      <w:r>
        <w:t xml:space="preserve"> </w:t>
      </w:r>
      <w:r>
        <w:t xml:space="preserve">to provide headroom. Wind turbines can be deloaded through pitch angle</w:t>
      </w:r>
      <w:r>
        <w:t xml:space="preserve"> </w:t>
      </w:r>
      <w:r>
        <w:t xml:space="preserve">or over speed control, whereas solar PV is typically deloaded through</w:t>
      </w:r>
      <w:r>
        <w:t xml:space="preserve"> </w:t>
      </w:r>
      <w:r>
        <w:t xml:space="preserve">over-voltage control</w:t>
      </w:r>
      <w:r>
        <w:t xml:space="preserve"> </w:t>
      </w:r>
      <w:r>
        <w:t xml:space="preserve">(</w:t>
      </w:r>
      <w:hyperlink w:anchor="ref-Dreidy2017">
        <w:r>
          <w:rPr>
            <w:rStyle w:val="Hyperlink"/>
            <w:bCs/>
            <w:b/>
          </w:rPr>
          <w:t xml:space="preserve">Dreidy2017?</w:t>
        </w:r>
      </w:hyperlink>
      <w:r>
        <w:t xml:space="preserve">;</w:t>
      </w:r>
      <w:r>
        <w:t xml:space="preserve"> </w:t>
      </w:r>
      <w:hyperlink w:anchor="ref-Tielens2012">
        <w:r>
          <w:rPr>
            <w:rStyle w:val="Hyperlink"/>
            <w:bCs/>
            <w:b/>
          </w:rPr>
          <w:t xml:space="preserve">Tielens2012?</w:t>
        </w:r>
      </w:hyperlink>
      <w:r>
        <w:t xml:space="preserve">;</w:t>
      </w:r>
      <w:r>
        <w:t xml:space="preserve"> </w:t>
      </w:r>
      <w:hyperlink w:anchor="ref-Fernandez-Guillamon2019a">
        <w:r>
          <w:rPr>
            <w:rStyle w:val="Hyperlink"/>
            <w:bCs/>
            <w:b/>
          </w:rPr>
          <w:t xml:space="preserve">Fernandez-Guillamon2019a?</w:t>
        </w:r>
      </w:hyperlink>
      <w:r>
        <w:t xml:space="preserve">)</w:t>
      </w:r>
      <w:r>
        <w:t xml:space="preserve">. A sustained</w:t>
      </w:r>
      <w:r>
        <w:t xml:space="preserve"> </w:t>
      </w:r>
      <w:r>
        <w:t xml:space="preserve">lower response can be delivered by operating an inverter control system</w:t>
      </w:r>
      <w:r>
        <w:t xml:space="preserve"> </w:t>
      </w:r>
      <w:r>
        <w:t xml:space="preserve">at an off-maximum power point to reduce the IBR’s active power output.</w:t>
      </w:r>
    </w:p>
    <w:p>
      <w:pPr>
        <w:pStyle w:val="BodyText"/>
      </w:pPr>
      <w:r>
        <w:t xml:space="preserve">High RoCoF can be mitigated by FFR that is delivered through processes</w:t>
      </w:r>
      <w:r>
        <w:t xml:space="preserve"> </w:t>
      </w:r>
      <w:r>
        <w:t xml:space="preserve">and controls that mimic the inertial response of a synchronous generator</w:t>
      </w:r>
      <w:r>
        <w:t xml:space="preserve"> </w:t>
      </w:r>
      <w:r>
        <w:t xml:space="preserve">(</w:t>
      </w:r>
      <w:hyperlink w:anchor="ref-Eriksson2018">
        <w:r>
          <w:rPr>
            <w:rStyle w:val="Hyperlink"/>
            <w:bCs/>
            <w:b/>
          </w:rPr>
          <w:t xml:space="preserve">Eriksson2018?</w:t>
        </w:r>
      </w:hyperlink>
      <w:r>
        <w:t xml:space="preserve">)</w:t>
      </w:r>
      <w:r>
        <w:t xml:space="preserve">. Inertia-based FFR (otherwise known as</w:t>
      </w:r>
      <w:r>
        <w:t xml:space="preserve"> </w:t>
      </w:r>
      <w:r>
        <w:rPr>
          <w:iCs/>
          <w:i/>
        </w:rPr>
        <w:t xml:space="preserve">synthetic</w:t>
      </w:r>
      <w:r>
        <w:rPr>
          <w:iCs/>
          <w:i/>
        </w:rPr>
        <w:t xml:space="preserve"> </w:t>
      </w:r>
      <w:r>
        <w:rPr>
          <w:iCs/>
          <w:i/>
        </w:rPr>
        <w:t xml:space="preserve">inertia</w:t>
      </w:r>
      <w:r>
        <w:t xml:space="preserve"> </w:t>
      </w:r>
      <w:r>
        <w:t xml:space="preserve">in the literature) is provided by extracting the kinetic energy</w:t>
      </w:r>
      <w:r>
        <w:t xml:space="preserve"> </w:t>
      </w:r>
      <w:r>
        <w:t xml:space="preserve">from a wind turbine rotor to rapidly inject active power</w:t>
      </w:r>
      <w:r>
        <w:t xml:space="preserve"> </w:t>
      </w:r>
      <w:r>
        <w:t xml:space="preserve">(</w:t>
      </w:r>
      <w:hyperlink w:anchor="ref-Miller2017">
        <w:r>
          <w:rPr>
            <w:rStyle w:val="Hyperlink"/>
            <w:bCs/>
            <w:b/>
          </w:rPr>
          <w:t xml:space="preserve">Miller2017?</w:t>
        </w:r>
      </w:hyperlink>
      <w:r>
        <w:t xml:space="preserve">)</w:t>
      </w:r>
      <w:r>
        <w:t xml:space="preserve"> </w:t>
      </w:r>
      <w:r>
        <w:t xml:space="preserve">into the power system. FFR from</w:t>
      </w:r>
      <w:r>
        <w:t xml:space="preserve"> </w:t>
      </w:r>
      <w:r>
        <w:rPr>
          <w:iCs/>
          <w:i/>
        </w:rPr>
        <w:t xml:space="preserve">virtual inertia</w:t>
      </w:r>
      <w:r>
        <w:t xml:space="preserve">, on the other hand, is</w:t>
      </w:r>
      <w:r>
        <w:t xml:space="preserve"> </w:t>
      </w:r>
      <w:r>
        <w:t xml:space="preserve">provided as the result of implementing the dynamic model of a</w:t>
      </w:r>
      <w:r>
        <w:t xml:space="preserve"> </w:t>
      </w:r>
      <w:r>
        <w:t xml:space="preserve">synchronous machine to some degree within an inverter control system</w:t>
      </w:r>
      <w:r>
        <w:t xml:space="preserve"> </w:t>
      </w:r>
      <w:r>
        <w:t xml:space="preserve">(</w:t>
      </w:r>
      <w:hyperlink w:anchor="ref-Tamrakar2017">
        <w:r>
          <w:rPr>
            <w:rStyle w:val="Hyperlink"/>
            <w:bCs/>
            <w:b/>
          </w:rPr>
          <w:t xml:space="preserve">Tamrakar2017?</w:t>
        </w:r>
      </w:hyperlink>
      <w:r>
        <w:t xml:space="preserve">;</w:t>
      </w:r>
      <w:r>
        <w:t xml:space="preserve"> </w:t>
      </w:r>
      <w:hyperlink w:anchor="ref-Anderson-Cook2013">
        <w:r>
          <w:rPr>
            <w:rStyle w:val="Hyperlink"/>
            <w:bCs/>
            <w:b/>
          </w:rPr>
          <w:t xml:space="preserve">Anderson-Cook2013?</w:t>
        </w:r>
      </w:hyperlink>
      <w:r>
        <w:t xml:space="preserve">)</w:t>
      </w:r>
      <w:r>
        <w:t xml:space="preserve">. As FFR requires some form of</w:t>
      </w:r>
      <w:r>
        <w:t xml:space="preserve"> </w:t>
      </w:r>
      <w:r>
        <w:t xml:space="preserve">measurement and is not inherent, it cannot be considered to be a direct</w:t>
      </w:r>
      <w:r>
        <w:t xml:space="preserve"> </w:t>
      </w:r>
      <w:r>
        <w:t xml:space="preserve">substitute for inertial response</w:t>
      </w:r>
      <w:r>
        <w:t xml:space="preserve"> </w:t>
      </w:r>
      <w:r>
        <w:t xml:space="preserve">(</w:t>
      </w:r>
      <w:hyperlink w:anchor="ref-Miller2017">
        <w:r>
          <w:rPr>
            <w:rStyle w:val="Hyperlink"/>
            <w:bCs/>
            <w:b/>
          </w:rPr>
          <w:t xml:space="preserve">Miller2017?</w:t>
        </w:r>
      </w:hyperlink>
      <w:r>
        <w:t xml:space="preserve">;</w:t>
      </w:r>
      <w:r>
        <w:t xml:space="preserve"> </w:t>
      </w:r>
      <w:hyperlink w:anchor="ref-AEMO2017a">
        <w:r>
          <w:rPr>
            <w:rStyle w:val="Hyperlink"/>
            <w:bCs/>
            <w:b/>
          </w:rPr>
          <w:t xml:space="preserve">AEMO2017a?</w:t>
        </w:r>
      </w:hyperlink>
      <w:r>
        <w:t xml:space="preserve">)</w:t>
      </w:r>
      <w:r>
        <w:t xml:space="preserve">.</w:t>
      </w:r>
    </w:p>
    <w:bookmarkEnd w:id="79"/>
    <w:bookmarkEnd w:id="80"/>
    <w:bookmarkEnd w:id="81"/>
    <w:bookmarkEnd w:id="82"/>
    <w:bookmarkStart w:id="98" w:name="designing-operational-practices"/>
    <w:p>
      <w:pPr>
        <w:pStyle w:val="Heading3"/>
      </w:pPr>
      <w:r>
        <w:rPr>
          <w:rStyle w:val="SectionNumber"/>
        </w:rPr>
        <w:t xml:space="preserve">4.6.4</w:t>
      </w:r>
      <w:r>
        <w:tab/>
      </w:r>
      <w:r>
        <w:t xml:space="preserve">Designing operational practices</w:t>
      </w:r>
    </w:p>
    <w:bookmarkStart w:id="96" w:name="sec:procurement"/>
    <w:p>
      <w:pPr>
        <w:pStyle w:val="Heading4"/>
      </w:pPr>
      <w:r>
        <w:rPr>
          <w:rStyle w:val="SectionNumber"/>
        </w:rPr>
        <w:t xml:space="preserve">4.6.4.1</w:t>
      </w:r>
      <w:r>
        <w:tab/>
      </w:r>
      <w:r>
        <w:t xml:space="preserve">Procurement of frequency control services</w:t>
      </w:r>
    </w:p>
    <w:p>
      <w:pPr>
        <w:pStyle w:val="FirstParagraph"/>
      </w:pPr>
      <w:r>
        <w:t xml:space="preserve">As highlighted by</w:t>
      </w:r>
      <w:r>
        <w:t xml:space="preserve"> </w:t>
      </w:r>
      <w:r>
        <w:t xml:space="preserve">(</w:t>
      </w:r>
      <w:hyperlink w:anchor="ref-Ela2012b">
        <w:r>
          <w:rPr>
            <w:rStyle w:val="Hyperlink"/>
            <w:bCs/>
            <w:b/>
          </w:rPr>
          <w:t xml:space="preserve">Ela2012b?</w:t>
        </w:r>
      </w:hyperlink>
      <w:r>
        <w:t xml:space="preserve">)</w:t>
      </w:r>
      <w:r>
        <w:t xml:space="preserve"> </w:t>
      </w:r>
      <w:r>
        <w:t xml:space="preserve">and</w:t>
      </w:r>
      <w:r>
        <w:t xml:space="preserve"> </w:t>
      </w:r>
      <w:r>
        <w:t xml:space="preserve">(</w:t>
      </w:r>
      <w:hyperlink w:anchor="ref-Billimoria2020">
        <w:r>
          <w:rPr>
            <w:rStyle w:val="Hyperlink"/>
            <w:bCs/>
            <w:b/>
          </w:rPr>
          <w:t xml:space="preserve">Billimoria2020?</w:t>
        </w:r>
      </w:hyperlink>
      <w:r>
        <w:t xml:space="preserve">)</w:t>
      </w:r>
      <w:r>
        <w:t xml:space="preserve">, frequency control</w:t>
      </w:r>
      <w:r>
        <w:t xml:space="preserve"> </w:t>
      </w:r>
      <w:r>
        <w:t xml:space="preserve">services are typically procured through a combination of market-based</w:t>
      </w:r>
      <w:r>
        <w:t xml:space="preserve"> </w:t>
      </w:r>
      <w:r>
        <w:t xml:space="preserve">mechanisms, such as remunerative schemes or contract or spot markets,</w:t>
      </w:r>
      <w:r>
        <w:t xml:space="preserve"> </w:t>
      </w:r>
      <w:r>
        <w:t xml:space="preserve">and regulatory mechanisms, such as connection requirements or system</w:t>
      </w:r>
      <w:r>
        <w:t xml:space="preserve"> </w:t>
      </w:r>
      <w:r>
        <w:t xml:space="preserve">operator intervention.</w:t>
      </w:r>
    </w:p>
    <w:bookmarkStart w:id="86" w:name="sec:market_mech"/>
    <w:p>
      <w:pPr>
        <w:pStyle w:val="Heading5"/>
      </w:pPr>
      <w:r>
        <w:rPr>
          <w:rStyle w:val="SectionNumber"/>
        </w:rPr>
        <w:t xml:space="preserve">4.6.4.1.1</w:t>
      </w:r>
      <w:r>
        <w:tab/>
      </w:r>
      <w:r>
        <w:t xml:space="preserve">Market-based mechanisms</w:t>
      </w:r>
    </w:p>
    <w:bookmarkStart w:id="83" w:name="suitability-of-markets"/>
    <w:p>
      <w:pPr>
        <w:pStyle w:val="Heading6"/>
      </w:pPr>
      <w:r>
        <w:rPr>
          <w:rStyle w:val="SectionNumber"/>
        </w:rPr>
        <w:t xml:space="preserve">4.6.4.1.1.1</w:t>
      </w:r>
      <w:r>
        <w:tab/>
      </w:r>
      <w:r>
        <w:t xml:space="preserve">Suitability of markets</w:t>
      </w:r>
    </w:p>
    <w:p>
      <w:pPr>
        <w:pStyle w:val="FirstParagraph"/>
      </w:pPr>
      <w:r>
        <w:t xml:space="preserve">Many restructured electricity industries have developed competitive</w:t>
      </w:r>
      <w:r>
        <w:t xml:space="preserve"> </w:t>
      </w:r>
      <w:r>
        <w:rPr>
          <w:iCs/>
          <w:i/>
        </w:rPr>
        <w:t xml:space="preserve">ancillary services</w:t>
      </w:r>
      <w:r>
        <w:t xml:space="preserve"> </w:t>
      </w:r>
      <w:r>
        <w:t xml:space="preserve">markets that enable frequency control services to</w:t>
      </w:r>
      <w:r>
        <w:t xml:space="preserve"> </w:t>
      </w:r>
      <w:r>
        <w:t xml:space="preserve">be procured alongside</w:t>
      </w:r>
      <w:r>
        <w:t xml:space="preserve"> </w:t>
      </w:r>
      <w:r>
        <w:rPr>
          <w:iCs/>
          <w:i/>
        </w:rPr>
        <w:t xml:space="preserve">primary</w:t>
      </w:r>
      <w:r>
        <w:t xml:space="preserve"> </w:t>
      </w:r>
      <w:r>
        <w:t xml:space="preserve">markets for energy and/or capacity</w:t>
      </w:r>
      <w:r>
        <w:t xml:space="preserve"> </w:t>
      </w:r>
      <w:r>
        <w:t xml:space="preserve">provision. Competitive markets are a suitable mechanism for procuring</w:t>
      </w:r>
      <w:r>
        <w:t xml:space="preserve"> </w:t>
      </w:r>
      <w:r>
        <w:t xml:space="preserve">frequency control services as AC frequency is a global parameter and, as</w:t>
      </w:r>
      <w:r>
        <w:t xml:space="preserve"> </w:t>
      </w:r>
      <w:r>
        <w:t xml:space="preserve">such, frequency control services can be provided by any capable resource</w:t>
      </w:r>
      <w:r>
        <w:t xml:space="preserve"> </w:t>
      </w:r>
      <w:r>
        <w:t xml:space="preserve">within a synchronous area</w:t>
      </w:r>
      <w:r>
        <w:t xml:space="preserve"> </w:t>
      </w:r>
      <w:r>
        <w:t xml:space="preserve">(</w:t>
      </w:r>
      <w:hyperlink w:anchor="ref-Billimoria2020">
        <w:r>
          <w:rPr>
            <w:rStyle w:val="Hyperlink"/>
            <w:bCs/>
            <w:b/>
          </w:rPr>
          <w:t xml:space="preserve">Billimoria2020?</w:t>
        </w:r>
      </w:hyperlink>
      <w:r>
        <w:t xml:space="preserve">;</w:t>
      </w:r>
      <w:r>
        <w:t xml:space="preserve"> </w:t>
      </w:r>
      <w:hyperlink w:anchor="ref-Hirst1998">
        <w:r>
          <w:rPr>
            <w:rStyle w:val="Hyperlink"/>
            <w:bCs/>
            <w:b/>
          </w:rPr>
          <w:t xml:space="preserve">Hirst1998?</w:t>
        </w:r>
      </w:hyperlink>
      <w:r>
        <w:t xml:space="preserve">)</w:t>
      </w:r>
      <w:r>
        <w:t xml:space="preserve">. This supports</w:t>
      </w:r>
      <w:r>
        <w:t xml:space="preserve"> </w:t>
      </w:r>
      <w:r>
        <w:t xml:space="preserve">greater participation and competition in frequency control markets.</w:t>
      </w:r>
      <w:r>
        <w:t xml:space="preserve"> </w:t>
      </w:r>
      <w:r>
        <w:t xml:space="preserve">Furthermore, frequency control services and energy are essentially the</w:t>
      </w:r>
      <w:r>
        <w:t xml:space="preserve"> </w:t>
      </w:r>
      <w:r>
        <w:t xml:space="preserve">same commodity (active power) but differentiated by their delivery</w:t>
      </w:r>
      <w:r>
        <w:t xml:space="preserve"> </w:t>
      </w:r>
      <w:r>
        <w:t xml:space="preserve">methods, with the former providing reserve capacity that responds in the</w:t>
      </w:r>
      <w:r>
        <w:t xml:space="preserve"> </w:t>
      </w:r>
      <w:r>
        <w:t xml:space="preserve">event of a frequency deviation and the latter providing sustained</w:t>
      </w:r>
      <w:r>
        <w:t xml:space="preserve"> </w:t>
      </w:r>
      <w:r>
        <w:t xml:space="preserve">delivery of active power during a market interval. Given that these</w:t>
      </w:r>
      <w:r>
        <w:t xml:space="preserve"> </w:t>
      </w:r>
      <w:r>
        <w:t xml:space="preserve">products are related, there are benefits related to reducing overall</w:t>
      </w:r>
      <w:r>
        <w:t xml:space="preserve"> </w:t>
      </w:r>
      <w:r>
        <w:t xml:space="preserve">system costs, incentivising frequency control provision and improving</w:t>
      </w:r>
      <w:r>
        <w:t xml:space="preserve"> </w:t>
      </w:r>
      <w:r>
        <w:t xml:space="preserve">trade outcomes for market participants by</w:t>
      </w:r>
      <w:r>
        <w:t xml:space="preserve"> </w:t>
      </w:r>
      <w:r>
        <w:rPr>
          <w:iCs/>
          <w:i/>
        </w:rPr>
        <w:t xml:space="preserve">co-optimising</w:t>
      </w:r>
      <w:r>
        <w:t xml:space="preserve"> </w:t>
      </w:r>
      <w:r>
        <w:t xml:space="preserve">markets for</w:t>
      </w:r>
      <w:r>
        <w:t xml:space="preserve"> </w:t>
      </w:r>
      <w:r>
        <w:t xml:space="preserve">energy and frequency control services</w:t>
      </w:r>
      <w:r>
        <w:t xml:space="preserve"> </w:t>
      </w:r>
      <w:r>
        <w:t xml:space="preserve">(</w:t>
      </w:r>
      <w:hyperlink w:anchor="ref-Ela2016">
        <w:r>
          <w:rPr>
            <w:rStyle w:val="Hyperlink"/>
            <w:bCs/>
            <w:b/>
          </w:rPr>
          <w:t xml:space="preserve">Ela2016?</w:t>
        </w:r>
      </w:hyperlink>
      <w:r>
        <w:t xml:space="preserve">)</w:t>
      </w:r>
      <w:r>
        <w:t xml:space="preserve">.</w:t>
      </w:r>
    </w:p>
    <w:bookmarkEnd w:id="83"/>
    <w:bookmarkStart w:id="84" w:name="opportunity-costs-and-co-optimisation"/>
    <w:p>
      <w:pPr>
        <w:pStyle w:val="Heading6"/>
      </w:pPr>
      <w:r>
        <w:rPr>
          <w:rStyle w:val="SectionNumber"/>
        </w:rPr>
        <w:t xml:space="preserve">4.6.4.1.1.2</w:t>
      </w:r>
      <w:r>
        <w:tab/>
      </w:r>
      <w:r>
        <w:t xml:space="preserve">Opportunity costs and co-optimisation</w:t>
      </w:r>
    </w:p>
    <w:p>
      <w:pPr>
        <w:pStyle w:val="FirstParagraph"/>
      </w:pPr>
      <w:r>
        <w:t xml:space="preserve">To provide raise frequency control services, generation must allocate</w:t>
      </w:r>
      <w:r>
        <w:t xml:space="preserve"> </w:t>
      </w:r>
      <w:r>
        <w:t xml:space="preserve">reserve capacity, which may be at the expense of profitable energy</w:t>
      </w:r>
      <w:r>
        <w:t xml:space="preserve"> </w:t>
      </w:r>
      <w:r>
        <w:t xml:space="preserve">provision</w:t>
      </w:r>
      <w:r>
        <w:t xml:space="preserve"> </w:t>
      </w:r>
      <w:r>
        <w:t xml:space="preserve">(</w:t>
      </w:r>
      <w:hyperlink w:anchor="ref-Raineri2006">
        <w:r>
          <w:rPr>
            <w:rStyle w:val="Hyperlink"/>
            <w:bCs/>
            <w:b/>
          </w:rPr>
          <w:t xml:space="preserve">Raineri2006?</w:t>
        </w:r>
      </w:hyperlink>
      <w:r>
        <w:t xml:space="preserve">)</w:t>
      </w:r>
      <w:r>
        <w:t xml:space="preserve">. As such, participation in ancillary services</w:t>
      </w:r>
      <w:r>
        <w:t xml:space="preserve"> </w:t>
      </w:r>
      <w:r>
        <w:t xml:space="preserve">markets often entails an</w:t>
      </w:r>
      <w:r>
        <w:t xml:space="preserve"> </w:t>
      </w:r>
      <w:r>
        <w:rPr>
          <w:iCs/>
          <w:i/>
        </w:rPr>
        <w:t xml:space="preserve">opportunity cost</w:t>
      </w:r>
      <w:r>
        <w:t xml:space="preserve"> </w:t>
      </w:r>
      <w:r>
        <w:t xml:space="preserve">to market participants.</w:t>
      </w:r>
      <w:r>
        <w:t xml:space="preserve"> </w:t>
      </w:r>
      <w:r>
        <w:t xml:space="preserve">While frequency control services markets are often co-optimised with</w:t>
      </w:r>
      <w:r>
        <w:t xml:space="preserve"> </w:t>
      </w:r>
      <w:r>
        <w:t xml:space="preserve">energy markets to ensure that power system energy supply and security</w:t>
      </w:r>
      <w:r>
        <w:t xml:space="preserve"> </w:t>
      </w:r>
      <w:r>
        <w:t xml:space="preserve">requirements are met at the lowest cost to the system, participant</w:t>
      </w:r>
      <w:r>
        <w:t xml:space="preserve"> </w:t>
      </w:r>
      <w:r>
        <w:t xml:space="preserve">opportunity costs can be accounted for in two ways in mandatory pool</w:t>
      </w:r>
      <w:r>
        <w:t xml:space="preserve"> </w:t>
      </w:r>
      <w:r>
        <w:t xml:space="preserve">electricity markets:</w:t>
      </w:r>
    </w:p>
    <w:p>
      <w:pPr>
        <w:numPr>
          <w:ilvl w:val="0"/>
          <w:numId w:val="1004"/>
        </w:numPr>
      </w:pPr>
      <w:r>
        <w:t xml:space="preserve">In</w:t>
      </w:r>
      <w:r>
        <w:t xml:space="preserve"> </w:t>
      </w:r>
      <w:r>
        <w:rPr>
          <w:iCs/>
          <w:i/>
        </w:rPr>
        <w:t xml:space="preserve">partially co-optimised</w:t>
      </w:r>
      <w:r>
        <w:t xml:space="preserve"> </w:t>
      </w:r>
      <w:r>
        <w:t xml:space="preserve">frequency control services markets,</w:t>
      </w:r>
      <w:r>
        <w:t xml:space="preserve"> </w:t>
      </w:r>
      <w:r>
        <w:t xml:space="preserve">perceived opportunity costs are incorporated into bids by market</w:t>
      </w:r>
      <w:r>
        <w:t xml:space="preserve"> </w:t>
      </w:r>
      <w:r>
        <w:t xml:space="preserve">participant. The procurement of frequency control services and</w:t>
      </w:r>
      <w:r>
        <w:t xml:space="preserve"> </w:t>
      </w:r>
      <w:r>
        <w:t xml:space="preserve">energy is co-optimised by the system operator in SCUC and/or SCED,</w:t>
      </w:r>
      <w:r>
        <w:t xml:space="preserve"> </w:t>
      </w:r>
      <w:r>
        <w:t xml:space="preserve">thereby minimising overall costs to the system</w:t>
      </w:r>
      <w:r>
        <w:t xml:space="preserve"> </w:t>
      </w:r>
      <w:r>
        <w:t xml:space="preserve">(</w:t>
      </w:r>
      <w:hyperlink w:anchor="ref-Isemonger2009">
        <w:r>
          <w:rPr>
            <w:rStyle w:val="Hyperlink"/>
            <w:bCs/>
            <w:b/>
          </w:rPr>
          <w:t xml:space="preserve">Isemonger2009?</w:t>
        </w:r>
      </w:hyperlink>
      <w:r>
        <w:t xml:space="preserve">)</w:t>
      </w:r>
      <w:r>
        <w:t xml:space="preserve">.</w:t>
      </w:r>
    </w:p>
    <w:p>
      <w:pPr>
        <w:numPr>
          <w:ilvl w:val="0"/>
          <w:numId w:val="1004"/>
        </w:numPr>
      </w:pPr>
      <w:r>
        <w:t xml:space="preserve">In</w:t>
      </w:r>
      <w:r>
        <w:t xml:space="preserve"> </w:t>
      </w:r>
      <w:r>
        <w:rPr>
          <w:iCs/>
          <w:i/>
        </w:rPr>
        <w:t xml:space="preserve">fully co-optimised</w:t>
      </w:r>
      <w:r>
        <w:t xml:space="preserve"> </w:t>
      </w:r>
      <w:r>
        <w:t xml:space="preserve">frequency control services markets, market</w:t>
      </w:r>
      <w:r>
        <w:t xml:space="preserve"> </w:t>
      </w:r>
      <w:r>
        <w:t xml:space="preserve">participants submit bids for energy and frequency control services</w:t>
      </w:r>
      <w:r>
        <w:t xml:space="preserve"> </w:t>
      </w:r>
      <w:r>
        <w:t xml:space="preserve">provision. The system operator then determines a price for frequency</w:t>
      </w:r>
      <w:r>
        <w:t xml:space="preserve"> </w:t>
      </w:r>
      <w:r>
        <w:t xml:space="preserve">control services that is the sum of the bid offer and the</w:t>
      </w:r>
      <w:r>
        <w:t xml:space="preserve"> </w:t>
      </w:r>
      <w:r>
        <w:t xml:space="preserve">opportunity cost of that resource foregoing provision of energy or</w:t>
      </w:r>
      <w:r>
        <w:t xml:space="preserve"> </w:t>
      </w:r>
      <w:r>
        <w:t xml:space="preserve">other services. The system operator can then co-optimise all bids</w:t>
      </w:r>
      <w:r>
        <w:t xml:space="preserve"> </w:t>
      </w:r>
      <w:r>
        <w:t xml:space="preserve">and costs in SCUC and/or SCED so as to simultaneously maximise</w:t>
      </w:r>
      <w:r>
        <w:t xml:space="preserve"> </w:t>
      </w:r>
      <w:r>
        <w:t xml:space="preserve">profit for market participants whilst minimising overall costs to</w:t>
      </w:r>
      <w:r>
        <w:t xml:space="preserve"> </w:t>
      </w:r>
      <w:r>
        <w:t xml:space="preserve">the system</w:t>
      </w:r>
      <w:r>
        <w:t xml:space="preserve"> </w:t>
      </w:r>
      <w:r>
        <w:t xml:space="preserve">(</w:t>
      </w:r>
      <w:hyperlink w:anchor="ref-Ela2012a">
        <w:r>
          <w:rPr>
            <w:rStyle w:val="Hyperlink"/>
            <w:bCs/>
            <w:b/>
          </w:rPr>
          <w:t xml:space="preserve">Ela2012a?</w:t>
        </w:r>
      </w:hyperlink>
      <w:r>
        <w:t xml:space="preserve">;</w:t>
      </w:r>
      <w:r>
        <w:t xml:space="preserve"> </w:t>
      </w:r>
      <w:hyperlink w:anchor="ref-IntelligentEnergySystems2010a">
        <w:r>
          <w:rPr>
            <w:rStyle w:val="Hyperlink"/>
            <w:bCs/>
            <w:b/>
          </w:rPr>
          <w:t xml:space="preserve">IntelligentEnergySystems2010a?</w:t>
        </w:r>
      </w:hyperlink>
      <w:r>
        <w:t xml:space="preserve">)</w:t>
      </w:r>
      <w:r>
        <w:t xml:space="preserve">.</w:t>
      </w:r>
    </w:p>
    <w:bookmarkEnd w:id="84"/>
    <w:bookmarkStart w:id="85" w:name="Xcf548b7512fcfb3a090e3412be6584690254300"/>
    <w:p>
      <w:pPr>
        <w:pStyle w:val="Heading6"/>
      </w:pPr>
      <w:r>
        <w:rPr>
          <w:rStyle w:val="SectionNumber"/>
        </w:rPr>
        <w:t xml:space="preserve">4.6.4.1.1.3</w:t>
      </w:r>
      <w:r>
        <w:tab/>
      </w:r>
      <w:r>
        <w:t xml:space="preserve">Potential benefits of market-based mechanisms</w:t>
      </w:r>
    </w:p>
    <w:p>
      <w:pPr>
        <w:pStyle w:val="FirstParagraph"/>
      </w:pPr>
      <w:r>
        <w:t xml:space="preserve">Compensation for frequency control services addresses the externality of</w:t>
      </w:r>
      <w:r>
        <w:t xml:space="preserve"> </w:t>
      </w:r>
      <w:r>
        <w:t xml:space="preserve">providing ancillary services, particularly if the compensation is</w:t>
      </w:r>
      <w:r>
        <w:t xml:space="preserve"> </w:t>
      </w:r>
      <w:r>
        <w:t xml:space="preserve">aligned with a market participant’s opportunity costs</w:t>
      </w:r>
      <w:r>
        <w:t xml:space="preserve"> </w:t>
      </w:r>
      <w:r>
        <w:t xml:space="preserve">(</w:t>
      </w:r>
      <w:hyperlink w:anchor="ref-Rebours2007b">
        <w:r>
          <w:rPr>
            <w:rStyle w:val="Hyperlink"/>
            <w:bCs/>
            <w:b/>
          </w:rPr>
          <w:t xml:space="preserve">Rebours2007b?</w:t>
        </w:r>
      </w:hyperlink>
      <w:r>
        <w:t xml:space="preserve">)</w:t>
      </w:r>
      <w:r>
        <w:t xml:space="preserve">.</w:t>
      </w:r>
      <w:r>
        <w:t xml:space="preserve"> </w:t>
      </w:r>
      <w:r>
        <w:t xml:space="preserve">Furthermore, if compensation is delivered through market-based</w:t>
      </w:r>
      <w:r>
        <w:t xml:space="preserve"> </w:t>
      </w:r>
      <w:r>
        <w:t xml:space="preserve">mechanisms and if these mechanisms are designed well, frequency control</w:t>
      </w:r>
      <w:r>
        <w:t xml:space="preserve"> </w:t>
      </w:r>
      <w:r>
        <w:t xml:space="preserve">services can be procured at least cost to the system from resources that</w:t>
      </w:r>
      <w:r>
        <w:t xml:space="preserve"> </w:t>
      </w:r>
      <w:r>
        <w:t xml:space="preserve">are best placed to provide them within an operational timeframe</w:t>
      </w:r>
      <w:r>
        <w:t xml:space="preserve"> </w:t>
      </w:r>
      <w:r>
        <w:t xml:space="preserve">(</w:t>
      </w:r>
      <w:r>
        <w:rPr>
          <w:iCs/>
          <w:i/>
        </w:rPr>
        <w:t xml:space="preserve">productive</w:t>
      </w:r>
      <w:r>
        <w:t xml:space="preserve"> </w:t>
      </w:r>
      <w:r>
        <w:t xml:space="preserve">efficiency) and spur efficient investment in frequency</w:t>
      </w:r>
      <w:r>
        <w:t xml:space="preserve"> </w:t>
      </w:r>
      <w:r>
        <w:t xml:space="preserve">control capabilities by market participants into the future (</w:t>
      </w:r>
      <w:r>
        <w:rPr>
          <w:iCs/>
          <w:i/>
        </w:rPr>
        <w:t xml:space="preserve">dynamic</w:t>
      </w:r>
      <w:r>
        <w:t xml:space="preserve"> </w:t>
      </w:r>
      <w:r>
        <w:t xml:space="preserve">efficiency)</w:t>
      </w:r>
      <w:r>
        <w:t xml:space="preserve"> </w:t>
      </w:r>
      <w:r>
        <w:t xml:space="preserve">(</w:t>
      </w:r>
      <w:hyperlink w:anchor="ref-Thorncraft2007">
        <w:r>
          <w:rPr>
            <w:rStyle w:val="Hyperlink"/>
            <w:bCs/>
            <w:b/>
          </w:rPr>
          <w:t xml:space="preserve">Thorncraft2007?</w:t>
        </w:r>
      </w:hyperlink>
      <w:r>
        <w:t xml:space="preserve">;</w:t>
      </w:r>
      <w:r>
        <w:t xml:space="preserve"> </w:t>
      </w:r>
      <w:hyperlink w:anchor="ref-Riesz2015b">
        <w:r>
          <w:rPr>
            <w:rStyle w:val="Hyperlink"/>
            <w:bCs/>
            <w:b/>
          </w:rPr>
          <w:t xml:space="preserve">Riesz2015b?</w:t>
        </w:r>
      </w:hyperlink>
      <w:r>
        <w:t xml:space="preserve">;</w:t>
      </w:r>
      <w:r>
        <w:t xml:space="preserve"> </w:t>
      </w:r>
      <w:hyperlink w:anchor="ref-Biggar2014TheMarkets">
        <w:r>
          <w:rPr>
            <w:rStyle w:val="Hyperlink"/>
            <w:bCs/>
            <w:b/>
          </w:rPr>
          <w:t xml:space="preserve">Biggar2014TheMarkets?</w:t>
        </w:r>
      </w:hyperlink>
      <w:r>
        <w:t xml:space="preserve">;</w:t>
      </w:r>
      <w:r>
        <w:t xml:space="preserve"> </w:t>
      </w:r>
      <w:hyperlink w:anchor="X807143375c276e39c7b29baa6194370d05520d0">
        <w:r>
          <w:rPr>
            <w:rStyle w:val="Hyperlink"/>
            <w:bCs/>
            <w:b/>
          </w:rPr>
          <w:t xml:space="preserve">AustralianEnergyMarketCommission2020a?</w:t>
        </w:r>
      </w:hyperlink>
      <w:r>
        <w:t xml:space="preserve">)</w:t>
      </w:r>
      <w:r>
        <w:t xml:space="preserve">.</w:t>
      </w:r>
    </w:p>
    <w:bookmarkEnd w:id="85"/>
    <w:bookmarkEnd w:id="86"/>
    <w:bookmarkStart w:id="91" w:name="sec:challgnes_fcas_markets"/>
    <w:p>
      <w:pPr>
        <w:pStyle w:val="Heading5"/>
      </w:pPr>
      <w:r>
        <w:rPr>
          <w:rStyle w:val="SectionNumber"/>
        </w:rPr>
        <w:t xml:space="preserve">4.6.4.1.2</w:t>
      </w:r>
      <w:r>
        <w:tab/>
      </w:r>
      <w:r>
        <w:t xml:space="preserve">Challenges in frequency control services markets</w:t>
      </w:r>
    </w:p>
    <w:p>
      <w:pPr>
        <w:pStyle w:val="FirstParagraph"/>
      </w:pPr>
      <w:r>
        <w:t xml:space="preserve">Frequency control services markets face both existing and emerging</w:t>
      </w:r>
      <w:r>
        <w:t xml:space="preserve"> </w:t>
      </w:r>
      <w:r>
        <w:t xml:space="preserve">challenges to achieving productive and dynamically efficient outcomes.</w:t>
      </w:r>
      <w:r>
        <w:t xml:space="preserve"> </w:t>
      </w:r>
      <w:r>
        <w:t xml:space="preserve">The main challenges being faced in these markets are outlined below:</w:t>
      </w:r>
    </w:p>
    <w:bookmarkStart w:id="87" w:name="product-design-and-fungibility."/>
    <w:p>
      <w:pPr>
        <w:pStyle w:val="Heading6"/>
      </w:pPr>
      <w:r>
        <w:rPr>
          <w:rStyle w:val="SectionNumber"/>
        </w:rPr>
        <w:t xml:space="preserve">4.6.4.1.2.1</w:t>
      </w:r>
      <w:r>
        <w:tab/>
      </w:r>
      <w:r>
        <w:t xml:space="preserve">Product design and fungibility.</w:t>
      </w:r>
    </w:p>
    <w:p>
      <w:pPr>
        <w:pStyle w:val="FirstParagraph"/>
      </w:pPr>
      <w:r>
        <w:t xml:space="preserve">Products in existing frequency control services markets generally</w:t>
      </w:r>
      <w:r>
        <w:t xml:space="preserve"> </w:t>
      </w:r>
      <w:r>
        <w:t xml:space="preserve">reflect the capabilities and requirements of conventional frequency</w:t>
      </w:r>
      <w:r>
        <w:t xml:space="preserve"> </w:t>
      </w:r>
      <w:r>
        <w:t xml:space="preserve">control provided by synchronous generators</w:t>
      </w:r>
      <w:r>
        <w:t xml:space="preserve"> </w:t>
      </w:r>
      <w:r>
        <w:t xml:space="preserve">(</w:t>
      </w:r>
      <w:hyperlink w:anchor="ref-EU-SysFlex2019">
        <w:r>
          <w:rPr>
            <w:rStyle w:val="Hyperlink"/>
            <w:bCs/>
            <w:b/>
          </w:rPr>
          <w:t xml:space="preserve">EU-SysFlex2019?</w:t>
        </w:r>
      </w:hyperlink>
      <w:r>
        <w:t xml:space="preserve">)</w:t>
      </w:r>
      <w:r>
        <w:t xml:space="preserve">. As</w:t>
      </w:r>
      <w:r>
        <w:t xml:space="preserve"> </w:t>
      </w:r>
      <w:r>
        <w:t xml:space="preserve">frequency control abilities and needs have changed over time, various</w:t>
      </w:r>
      <w:r>
        <w:t xml:space="preserve"> </w:t>
      </w:r>
      <w:r>
        <w:t xml:space="preserve">jurisdictions have considered or created additional frequency control</w:t>
      </w:r>
      <w:r>
        <w:t xml:space="preserve"> </w:t>
      </w:r>
      <w:r>
        <w:t xml:space="preserve">services. These include ramping products, which have been implemented in</w:t>
      </w:r>
      <w:r>
        <w:t xml:space="preserve"> </w:t>
      </w:r>
      <w:r>
        <w:t xml:space="preserve">some ISO/RTO markets in response to increasing variability and</w:t>
      </w:r>
      <w:r>
        <w:t xml:space="preserve"> </w:t>
      </w:r>
      <w:r>
        <w:t xml:space="preserve">uncertainty</w:t>
      </w:r>
      <w:r>
        <w:t xml:space="preserve"> </w:t>
      </w:r>
      <w:r>
        <w:t xml:space="preserve">(</w:t>
      </w:r>
      <w:hyperlink w:anchor="ref-Ela2019">
        <w:r>
          <w:rPr>
            <w:rStyle w:val="Hyperlink"/>
            <w:bCs/>
            <w:b/>
          </w:rPr>
          <w:t xml:space="preserve">Ela2019?</w:t>
        </w:r>
      </w:hyperlink>
      <w:r>
        <w:t xml:space="preserve">;</w:t>
      </w:r>
      <w:r>
        <w:t xml:space="preserve"> </w:t>
      </w:r>
      <w:hyperlink w:anchor="ref-Ela2017">
        <w:r>
          <w:rPr>
            <w:rStyle w:val="Hyperlink"/>
            <w:bCs/>
            <w:b/>
          </w:rPr>
          <w:t xml:space="preserve">Ela2017?</w:t>
        </w:r>
      </w:hyperlink>
      <w:r>
        <w:t xml:space="preserve">)</w:t>
      </w:r>
      <w:r>
        <w:t xml:space="preserve">, FFR products to mitigate RoCoF</w:t>
      </w:r>
      <w:r>
        <w:t xml:space="preserve"> </w:t>
      </w:r>
      <w:r>
        <w:t xml:space="preserve">(</w:t>
      </w:r>
      <w:hyperlink w:anchor="ref-Ela2019">
        <w:r>
          <w:rPr>
            <w:rStyle w:val="Hyperlink"/>
            <w:bCs/>
            <w:b/>
          </w:rPr>
          <w:t xml:space="preserve">Ela2019?</w:t>
        </w:r>
      </w:hyperlink>
      <w:r>
        <w:t xml:space="preserve">;</w:t>
      </w:r>
      <w:r>
        <w:t xml:space="preserve"> </w:t>
      </w:r>
      <w:hyperlink w:anchor="ref-Fernandez-Munoz2020">
        <w:r>
          <w:rPr>
            <w:rStyle w:val="Hyperlink"/>
            <w:bCs/>
            <w:b/>
          </w:rPr>
          <w:t xml:space="preserve">Fernandez-Munoz2020?</w:t>
        </w:r>
      </w:hyperlink>
      <w:r>
        <w:t xml:space="preserve">)</w:t>
      </w:r>
      <w:r>
        <w:t xml:space="preserve"> </w:t>
      </w:r>
      <w:r>
        <w:t xml:space="preserve">and TFC or operating reserves where</w:t>
      </w:r>
      <w:r>
        <w:t xml:space="preserve"> </w:t>
      </w:r>
      <w:r>
        <w:t xml:space="preserve">operating reserve margins are a concern to the system operator</w:t>
      </w:r>
      <w:r>
        <w:t xml:space="preserve"> </w:t>
      </w:r>
      <w:r>
        <w:t xml:space="preserve">(</w:t>
      </w:r>
      <w:hyperlink w:anchor="ref-EnergySecurityBoard2020">
        <w:r>
          <w:rPr>
            <w:rStyle w:val="Hyperlink"/>
            <w:bCs/>
            <w:b/>
          </w:rPr>
          <w:t xml:space="preserve">EnergySecurityBoard2020?</w:t>
        </w:r>
      </w:hyperlink>
      <w:r>
        <w:t xml:space="preserve">)</w:t>
      </w:r>
      <w:r>
        <w:t xml:space="preserve">.</w:t>
      </w:r>
    </w:p>
    <w:p>
      <w:pPr>
        <w:pStyle w:val="BodyText"/>
      </w:pPr>
      <w:r>
        <w:t xml:space="preserve">Furthermore, there are trade-offs associated with the separation and</w:t>
      </w:r>
      <w:r>
        <w:t xml:space="preserve"> </w:t>
      </w:r>
      <w:r>
        <w:rPr>
          <w:iCs/>
          <w:i/>
        </w:rPr>
        <w:t xml:space="preserve">fungibility</w:t>
      </w:r>
      <w:r>
        <w:t xml:space="preserve"> </w:t>
      </w:r>
      <w:r>
        <w:t xml:space="preserve">of both existing and new frequency control products.</w:t>
      </w:r>
      <w:r>
        <w:t xml:space="preserve"> </w:t>
      </w:r>
      <w:r>
        <w:t xml:space="preserve">Market-based mechanisms will work best when a particular frequency</w:t>
      </w:r>
      <w:r>
        <w:t xml:space="preserve"> </w:t>
      </w:r>
      <w:r>
        <w:t xml:space="preserve">control product is a fungible and well defined, or</w:t>
      </w:r>
      <w:r>
        <w:t xml:space="preserve"> </w:t>
      </w:r>
      <w:r>
        <w:t xml:space="preserve">“</w:t>
      </w:r>
      <w:r>
        <w:t xml:space="preserve">discrete</w:t>
      </w:r>
      <w:r>
        <w:t xml:space="preserve">”</w:t>
      </w:r>
      <w:r>
        <w:t xml:space="preserve">, commodity</w:t>
      </w:r>
      <w:r>
        <w:t xml:space="preserve"> </w:t>
      </w:r>
      <w:r>
        <w:t xml:space="preserve">supplied by various providers</w:t>
      </w:r>
      <w:r>
        <w:t xml:space="preserve"> </w:t>
      </w:r>
      <w:r>
        <w:t xml:space="preserve">(</w:t>
      </w:r>
      <w:hyperlink w:anchor="ref-Gimon2020">
        <w:r>
          <w:rPr>
            <w:rStyle w:val="Hyperlink"/>
            <w:bCs/>
            <w:b/>
          </w:rPr>
          <w:t xml:space="preserve">Gimon2020?</w:t>
        </w:r>
      </w:hyperlink>
      <w:r>
        <w:t xml:space="preserve">)</w:t>
      </w:r>
      <w:r>
        <w:t xml:space="preserve">. With a sufficiently large</w:t>
      </w:r>
      <w:r>
        <w:t xml:space="preserve"> </w:t>
      </w:r>
      <w:r>
        <w:t xml:space="preserve">market, prices should reflect the costs incurred by various providers to</w:t>
      </w:r>
      <w:r>
        <w:t xml:space="preserve"> </w:t>
      </w:r>
      <w:r>
        <w:t xml:space="preserve">provide such a service</w:t>
      </w:r>
      <w:r>
        <w:t xml:space="preserve"> </w:t>
      </w:r>
      <w:r>
        <w:t xml:space="preserve">(</w:t>
      </w:r>
      <w:hyperlink w:anchor="ref-Ela2012b">
        <w:r>
          <w:rPr>
            <w:rStyle w:val="Hyperlink"/>
            <w:bCs/>
            <w:b/>
          </w:rPr>
          <w:t xml:space="preserve">Ela2012b?</w:t>
        </w:r>
      </w:hyperlink>
      <w:r>
        <w:t xml:space="preserve">)</w:t>
      </w:r>
      <w:r>
        <w:t xml:space="preserve">. This, however, ignores the wide</w:t>
      </w:r>
      <w:r>
        <w:t xml:space="preserve"> </w:t>
      </w:r>
      <w:r>
        <w:t xml:space="preserve">“</w:t>
      </w:r>
      <w:r>
        <w:t xml:space="preserve">spectrum</w:t>
      </w:r>
      <w:r>
        <w:t xml:space="preserve">”</w:t>
      </w:r>
      <w:r>
        <w:t xml:space="preserve"> </w:t>
      </w:r>
      <w:r>
        <w:t xml:space="preserve">of technical capabilities of power system resources with</w:t>
      </w:r>
      <w:r>
        <w:t xml:space="preserve"> </w:t>
      </w:r>
      <w:r>
        <w:t xml:space="preserve">respect to frequency control.</w:t>
      </w:r>
    </w:p>
    <w:p>
      <w:pPr>
        <w:pStyle w:val="BodyText"/>
      </w:pPr>
      <w:r>
        <w:t xml:space="preserve">Understanding the trade-offs in creating fungible new products is</w:t>
      </w:r>
      <w:r>
        <w:t xml:space="preserve"> </w:t>
      </w:r>
      <w:r>
        <w:t xml:space="preserve">important to frequency control service market design. For example, while</w:t>
      </w:r>
      <w:r>
        <w:t xml:space="preserve"> </w:t>
      </w:r>
      <w:r>
        <w:t xml:space="preserve">a new product may value and incentivise the provision of a particular</w:t>
      </w:r>
      <w:r>
        <w:t xml:space="preserve"> </w:t>
      </w:r>
      <w:r>
        <w:t xml:space="preserve">frequency response</w:t>
      </w:r>
      <w:r>
        <w:t xml:space="preserve"> </w:t>
      </w:r>
      <w:r>
        <w:t xml:space="preserve">(</w:t>
      </w:r>
      <w:hyperlink w:anchor="ref-Ela2012b">
        <w:r>
          <w:rPr>
            <w:rStyle w:val="Hyperlink"/>
            <w:bCs/>
            <w:b/>
          </w:rPr>
          <w:t xml:space="preserve">Ela2012b?</w:t>
        </w:r>
      </w:hyperlink>
      <w:r>
        <w:t xml:space="preserve">)</w:t>
      </w:r>
      <w:r>
        <w:t xml:space="preserve">, a market may not deliver a net benefit</w:t>
      </w:r>
      <w:r>
        <w:t xml:space="preserve"> </w:t>
      </w:r>
      <w:r>
        <w:t xml:space="preserve">if there is limited competition or the costs and complexity of</w:t>
      </w:r>
      <w:r>
        <w:t xml:space="preserve"> </w:t>
      </w:r>
      <w:r>
        <w:t xml:space="preserve">administering a market are significant</w:t>
      </w:r>
      <w:r>
        <w:t xml:space="preserve"> </w:t>
      </w:r>
      <w:r>
        <w:t xml:space="preserve">(</w:t>
      </w:r>
      <w:hyperlink w:anchor="ref-Rebours2007b">
        <w:r>
          <w:rPr>
            <w:rStyle w:val="Hyperlink"/>
            <w:bCs/>
            <w:b/>
          </w:rPr>
          <w:t xml:space="preserve">Rebours2007b?</w:t>
        </w:r>
      </w:hyperlink>
      <w:r>
        <w:t xml:space="preserve">;</w:t>
      </w:r>
      <w:r>
        <w:t xml:space="preserve"> </w:t>
      </w:r>
      <w:hyperlink w:anchor="ref-Ela2019">
        <w:r>
          <w:rPr>
            <w:rStyle w:val="Hyperlink"/>
            <w:bCs/>
            <w:b/>
          </w:rPr>
          <w:t xml:space="preserve">Ela2019?</w:t>
        </w:r>
      </w:hyperlink>
      <w:r>
        <w:t xml:space="preserve">)</w:t>
      </w:r>
      <w:r>
        <w:t xml:space="preserve">.</w:t>
      </w:r>
    </w:p>
    <w:bookmarkEnd w:id="87"/>
    <w:bookmarkStart w:id="88" w:name="price-formation."/>
    <w:p>
      <w:pPr>
        <w:pStyle w:val="Heading6"/>
      </w:pPr>
      <w:r>
        <w:rPr>
          <w:rStyle w:val="SectionNumber"/>
        </w:rPr>
        <w:t xml:space="preserve">4.6.4.1.2.2</w:t>
      </w:r>
      <w:r>
        <w:tab/>
      </w:r>
      <w:r>
        <w:t xml:space="preserve">Price formation.</w:t>
      </w:r>
    </w:p>
    <w:p>
      <w:pPr>
        <w:pStyle w:val="FirstParagraph"/>
      </w:pPr>
      <w:r>
        <w:t xml:space="preserve">Price formation is an unresolved issue within frequency control services</w:t>
      </w:r>
      <w:r>
        <w:t xml:space="preserve"> </w:t>
      </w:r>
      <w:r>
        <w:t xml:space="preserve">market design. Ideally, the price of provision should be explicit,</w:t>
      </w:r>
      <w:r>
        <w:t xml:space="preserve"> </w:t>
      </w:r>
      <w:r>
        <w:t xml:space="preserve">transparent and recognise the true value of the service alongside any</w:t>
      </w:r>
      <w:r>
        <w:t xml:space="preserve"> </w:t>
      </w:r>
      <w:r>
        <w:t xml:space="preserve">opportunity-costs incurred by the supplying participant. There are three</w:t>
      </w:r>
      <w:r>
        <w:t xml:space="preserve"> </w:t>
      </w:r>
      <w:r>
        <w:t xml:space="preserve">main issues that hamper efficient price formation and hence productive</w:t>
      </w:r>
      <w:r>
        <w:t xml:space="preserve"> </w:t>
      </w:r>
      <w:r>
        <w:t xml:space="preserve">and dynamically efficient market outcomes:</w:t>
      </w:r>
    </w:p>
    <w:p>
      <w:pPr>
        <w:numPr>
          <w:ilvl w:val="0"/>
          <w:numId w:val="1005"/>
        </w:numPr>
      </w:pPr>
      <w:r>
        <w:t xml:space="preserve">Frequency control products are arbitrarily defined by a system</w:t>
      </w:r>
      <w:r>
        <w:t xml:space="preserve"> </w:t>
      </w:r>
      <w:r>
        <w:t xml:space="preserve">operator and often procured in a single-sided market due to the</w:t>
      </w:r>
      <w:r>
        <w:t xml:space="preserve"> </w:t>
      </w:r>
      <w:r>
        <w:rPr>
          <w:iCs/>
          <w:i/>
        </w:rPr>
        <w:t xml:space="preserve">public good</w:t>
      </w:r>
      <w:r>
        <w:t xml:space="preserve"> </w:t>
      </w:r>
      <w:r>
        <w:t xml:space="preserve">nature of frequency control</w:t>
      </w:r>
      <w:r>
        <w:t xml:space="preserve"> </w:t>
      </w:r>
      <w:r>
        <w:t xml:space="preserve">(</w:t>
      </w:r>
      <w:hyperlink w:anchor="ref-Billimoria2020">
        <w:r>
          <w:rPr>
            <w:rStyle w:val="Hyperlink"/>
            <w:bCs/>
            <w:b/>
          </w:rPr>
          <w:t xml:space="preserve">Billimoria2020?</w:t>
        </w:r>
      </w:hyperlink>
      <w:r>
        <w:t xml:space="preserve">;</w:t>
      </w:r>
      <w:r>
        <w:t xml:space="preserve"> </w:t>
      </w:r>
      <w:hyperlink w:anchor="ref-Pollitt2019a">
        <w:r>
          <w:rPr>
            <w:rStyle w:val="Hyperlink"/>
            <w:bCs/>
            <w:b/>
          </w:rPr>
          <w:t xml:space="preserve">Pollitt2019a?</w:t>
        </w:r>
      </w:hyperlink>
      <w:r>
        <w:t xml:space="preserve">)</w:t>
      </w:r>
      <w:r>
        <w:t xml:space="preserve">. As such, the true value of these</w:t>
      </w:r>
      <w:r>
        <w:t xml:space="preserve"> </w:t>
      </w:r>
      <w:r>
        <w:t xml:space="preserve">services to power system users is not recognised</w:t>
      </w:r>
      <w:r>
        <w:t xml:space="preserve"> </w:t>
      </w:r>
      <w:r>
        <w:t xml:space="preserve">(</w:t>
      </w:r>
      <w:hyperlink w:anchor="ref-Rebours2007b">
        <w:r>
          <w:rPr>
            <w:rStyle w:val="Hyperlink"/>
            <w:bCs/>
            <w:b/>
          </w:rPr>
          <w:t xml:space="preserve">Rebours2007b?</w:t>
        </w:r>
      </w:hyperlink>
      <w:r>
        <w:t xml:space="preserve">)</w:t>
      </w:r>
      <w:r>
        <w:t xml:space="preserve">.</w:t>
      </w:r>
    </w:p>
    <w:p>
      <w:pPr>
        <w:numPr>
          <w:ilvl w:val="0"/>
          <w:numId w:val="1005"/>
        </w:numPr>
      </w:pPr>
      <w:r>
        <w:t xml:space="preserve">Furthermore, in co-optimised markets, there is a tension between the</w:t>
      </w:r>
      <w:r>
        <w:t xml:space="preserve"> </w:t>
      </w:r>
      <w:r>
        <w:t xml:space="preserve">relatively low opportunity costs of existing synchronous generation</w:t>
      </w:r>
      <w:r>
        <w:t xml:space="preserve"> </w:t>
      </w:r>
      <w:r>
        <w:t xml:space="preserve">providing frequency control services and the strong price signals</w:t>
      </w:r>
      <w:r>
        <w:t xml:space="preserve"> </w:t>
      </w:r>
      <w:r>
        <w:t xml:space="preserve">needed to incentivise new capabilities, particularly from high</w:t>
      </w:r>
      <w:r>
        <w:t xml:space="preserve"> </w:t>
      </w:r>
      <w:r>
        <w:t xml:space="preserve">capital, low operating cost inverter-based resources</w:t>
      </w:r>
      <w:r>
        <w:t xml:space="preserve"> </w:t>
      </w:r>
      <w:r>
        <w:t xml:space="preserve">(</w:t>
      </w:r>
      <w:hyperlink w:anchor="ref-Ela2019">
        <w:r>
          <w:rPr>
            <w:rStyle w:val="Hyperlink"/>
            <w:bCs/>
            <w:b/>
          </w:rPr>
          <w:t xml:space="preserve">Ela2019?</w:t>
        </w:r>
      </w:hyperlink>
      <w:r>
        <w:t xml:space="preserve">)</w:t>
      </w:r>
      <w:r>
        <w:t xml:space="preserve">.</w:t>
      </w:r>
    </w:p>
    <w:p>
      <w:pPr>
        <w:numPr>
          <w:ilvl w:val="0"/>
          <w:numId w:val="1005"/>
        </w:numPr>
      </w:pPr>
      <w:r>
        <w:t xml:space="preserve">Some products, such as inertia, may be</w:t>
      </w:r>
      <w:r>
        <w:t xml:space="preserve"> </w:t>
      </w:r>
      <w:r>
        <w:t xml:space="preserve">‘</w:t>
      </w:r>
      <w:r>
        <w:t xml:space="preserve">lumpy</w:t>
      </w:r>
      <w:r>
        <w:t xml:space="preserve">’</w:t>
      </w:r>
      <w:r>
        <w:t xml:space="preserve"> </w:t>
      </w:r>
      <w:r>
        <w:t xml:space="preserve">in their provision</w:t>
      </w:r>
      <w:r>
        <w:t xml:space="preserve"> </w:t>
      </w:r>
      <w:r>
        <w:t xml:space="preserve">and inseparable from other system security products</w:t>
      </w:r>
      <w:r>
        <w:t xml:space="preserve"> </w:t>
      </w:r>
      <w:r>
        <w:t xml:space="preserve">(</w:t>
      </w:r>
      <w:hyperlink w:anchor="ref-Billimoria2020">
        <w:r>
          <w:rPr>
            <w:rStyle w:val="Hyperlink"/>
            <w:bCs/>
            <w:b/>
          </w:rPr>
          <w:t xml:space="preserve">Billimoria2020?</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88"/>
    <w:bookmarkStart w:id="89" w:name="cost-allocation."/>
    <w:p>
      <w:pPr>
        <w:pStyle w:val="Heading6"/>
      </w:pPr>
      <w:r>
        <w:rPr>
          <w:rStyle w:val="SectionNumber"/>
        </w:rPr>
        <w:t xml:space="preserve">4.6.4.1.2.3</w:t>
      </w:r>
      <w:r>
        <w:tab/>
      </w:r>
      <w:r>
        <w:t xml:space="preserve">Cost allocation.</w:t>
      </w:r>
    </w:p>
    <w:p>
      <w:pPr>
        <w:pStyle w:val="FirstParagraph"/>
      </w:pPr>
      <w:r>
        <w:t xml:space="preserve">In many mandatory pool markets, the cost of frequency control services</w:t>
      </w:r>
      <w:r>
        <w:t xml:space="preserve"> </w:t>
      </w:r>
      <w:r>
        <w:t xml:space="preserve">procured by the system operator is allocated to loads, even though the</w:t>
      </w:r>
      <w:r>
        <w:t xml:space="preserve"> </w:t>
      </w:r>
      <w:r>
        <w:t xml:space="preserve">deviation of generation may cause the need for procurement in the first</w:t>
      </w:r>
      <w:r>
        <w:t xml:space="preserve"> </w:t>
      </w:r>
      <w:r>
        <w:t xml:space="preserve">place</w:t>
      </w:r>
      <w:r>
        <w:t xml:space="preserve"> </w:t>
      </w:r>
      <w:r>
        <w:t xml:space="preserve">(</w:t>
      </w:r>
      <w:hyperlink w:anchor="ref-Milligan2011a">
        <w:r>
          <w:rPr>
            <w:rStyle w:val="Hyperlink"/>
            <w:bCs/>
            <w:b/>
          </w:rPr>
          <w:t xml:space="preserve">Milligan2011a?</w:t>
        </w:r>
      </w:hyperlink>
      <w:r>
        <w:t xml:space="preserve">)</w:t>
      </w:r>
      <w:r>
        <w:t xml:space="preserve">. Australia’s NEM has a</w:t>
      </w:r>
      <w:r>
        <w:t xml:space="preserve"> </w:t>
      </w:r>
      <w:r>
        <w:t xml:space="preserve">‘</w:t>
      </w:r>
      <w:r>
        <w:t xml:space="preserve">Causer Pays</w:t>
      </w:r>
      <w:r>
        <w:t xml:space="preserve">’</w:t>
      </w:r>
      <w:r>
        <w:t xml:space="preserve"> </w:t>
      </w:r>
      <w:r>
        <w:t xml:space="preserve">cost</w:t>
      </w:r>
      <w:r>
        <w:t xml:space="preserve"> </w:t>
      </w:r>
      <w:r>
        <w:t xml:space="preserve">allocation framework in place for frequency control services procured</w:t>
      </w:r>
      <w:r>
        <w:t xml:space="preserve"> </w:t>
      </w:r>
      <w:r>
        <w:t xml:space="preserve">for contingency response and regulation, though the mechanism for the</w:t>
      </w:r>
      <w:r>
        <w:t xml:space="preserve"> </w:t>
      </w:r>
      <w:r>
        <w:t xml:space="preserve">latter suffers from a lack of transparency, complexity and fundamental</w:t>
      </w:r>
      <w:r>
        <w:t xml:space="preserve"> </w:t>
      </w:r>
      <w:r>
        <w:t xml:space="preserve">design flaws</w:t>
      </w:r>
      <w:r>
        <w:t xml:space="preserve"> </w:t>
      </w:r>
      <w:r>
        <w:t xml:space="preserve">(</w:t>
      </w:r>
      <w:hyperlink w:anchor="ref-Riesz2015b">
        <w:r>
          <w:rPr>
            <w:rStyle w:val="Hyperlink"/>
            <w:bCs/>
            <w:b/>
          </w:rPr>
          <w:t xml:space="preserve">Riesz2015b?</w:t>
        </w:r>
      </w:hyperlink>
      <w:r>
        <w:t xml:space="preserve">;</w:t>
      </w:r>
      <w:r>
        <w:t xml:space="preserve"> </w:t>
      </w:r>
      <w:hyperlink w:anchor="ref-AustralianEnergyMarketCommission2020">
        <w:r>
          <w:rPr>
            <w:rStyle w:val="Hyperlink"/>
            <w:bCs/>
            <w:b/>
          </w:rPr>
          <w:t xml:space="preserve">AustralianEnergyMarketCommission2020?</w:t>
        </w:r>
      </w:hyperlink>
      <w:r>
        <w:t xml:space="preserve">;</w:t>
      </w:r>
      <w:r>
        <w:t xml:space="preserve"> </w:t>
      </w:r>
      <w:hyperlink w:anchor="ref-AustralianEnergyRegulator2020">
        <w:r>
          <w:rPr>
            <w:rStyle w:val="Hyperlink"/>
            <w:bCs/>
            <w:b/>
          </w:rPr>
          <w:t xml:space="preserve">AustralianEnergyRegulator2020?</w:t>
        </w:r>
      </w:hyperlink>
      <w:r>
        <w:t xml:space="preserve">)</w:t>
      </w:r>
      <w:r>
        <w:t xml:space="preserve">.</w:t>
      </w:r>
      <w:r>
        <w:t xml:space="preserve"> </w:t>
      </w:r>
      <w:r>
        <w:t xml:space="preserve">Cost allocation could provide disincentives for undesirable behaviour,</w:t>
      </w:r>
      <w:r>
        <w:t xml:space="preserve"> </w:t>
      </w:r>
      <w:r>
        <w:t xml:space="preserve">such as deviation from SCED dispatch instruction, and create</w:t>
      </w:r>
      <w:r>
        <w:t xml:space="preserve"> </w:t>
      </w:r>
      <w:r>
        <w:t xml:space="preserve">counter-parties for hedging frequency control services price risk and</w:t>
      </w:r>
      <w:r>
        <w:t xml:space="preserve"> </w:t>
      </w:r>
      <w:r>
        <w:t xml:space="preserve">therefore assist in price formation</w:t>
      </w:r>
      <w:r>
        <w:t xml:space="preserve"> </w:t>
      </w:r>
      <w:r>
        <w:t xml:space="preserve">(</w:t>
      </w:r>
      <w:hyperlink w:anchor="ref-Thorncraft2007">
        <w:r>
          <w:rPr>
            <w:rStyle w:val="Hyperlink"/>
            <w:bCs/>
            <w:b/>
          </w:rPr>
          <w:t xml:space="preserve">Thorncraft2007?</w:t>
        </w:r>
      </w:hyperlink>
      <w:r>
        <w:t xml:space="preserve">)</w:t>
      </w:r>
      <w:r>
        <w:t xml:space="preserve">. As the power</w:t>
      </w:r>
      <w:r>
        <w:t xml:space="preserve"> </w:t>
      </w:r>
      <w:r>
        <w:t xml:space="preserve">system continues to transition, it may be possible to allocated costs</w:t>
      </w:r>
      <w:r>
        <w:t xml:space="preserve"> </w:t>
      </w:r>
      <w:r>
        <w:t xml:space="preserve">based on a</w:t>
      </w:r>
      <w:r>
        <w:t xml:space="preserve"> </w:t>
      </w:r>
      <w:r>
        <w:t xml:space="preserve">‘</w:t>
      </w:r>
      <w:r>
        <w:t xml:space="preserve">User Pays</w:t>
      </w:r>
      <w:r>
        <w:t xml:space="preserve">’</w:t>
      </w:r>
      <w:r>
        <w:t xml:space="preserve"> </w:t>
      </w:r>
      <w:r>
        <w:t xml:space="preserve">framework, whereby power system resources that</w:t>
      </w:r>
      <w:r>
        <w:t xml:space="preserve"> </w:t>
      </w:r>
      <w:r>
        <w:t xml:space="preserve">impose frequency zenith, nadir or RoCoF limits pay for frequency control</w:t>
      </w:r>
      <w:r>
        <w:t xml:space="preserve"> </w:t>
      </w:r>
      <w:r>
        <w:t xml:space="preserve">services</w:t>
      </w:r>
      <w:r>
        <w:t xml:space="preserve"> </w:t>
      </w:r>
      <w:r>
        <w:t xml:space="preserve">(</w:t>
      </w:r>
      <w:hyperlink w:anchor="X807143375c276e39c7b29baa6194370d05520d0">
        <w:r>
          <w:rPr>
            <w:rStyle w:val="Hyperlink"/>
            <w:bCs/>
            <w:b/>
          </w:rPr>
          <w:t xml:space="preserve">AustralianEnergyMarketCommission2020a?</w:t>
        </w:r>
      </w:hyperlink>
      <w:r>
        <w:t xml:space="preserve">)</w:t>
      </w:r>
      <w:r>
        <w:t xml:space="preserve">.</w:t>
      </w:r>
    </w:p>
    <w:bookmarkEnd w:id="89"/>
    <w:bookmarkStart w:id="90" w:name="ibr-participation."/>
    <w:p>
      <w:pPr>
        <w:pStyle w:val="Heading6"/>
      </w:pPr>
      <w:r>
        <w:rPr>
          <w:rStyle w:val="SectionNumber"/>
        </w:rPr>
        <w:t xml:space="preserve">4.6.4.1.2.4</w:t>
      </w:r>
      <w:r>
        <w:tab/>
      </w:r>
      <w:r>
        <w:t xml:space="preserve">IBR participation.</w:t>
      </w:r>
    </w:p>
    <w:p>
      <w:pPr>
        <w:pStyle w:val="FirstParagraph"/>
      </w:pPr>
      <w:r>
        <w:t xml:space="preserve">IBR cannot or do not participate in many frequency control services</w:t>
      </w:r>
      <w:r>
        <w:t xml:space="preserve"> </w:t>
      </w:r>
      <w:r>
        <w:t xml:space="preserve">markets. Historically, literature has focused on the impact of variable</w:t>
      </w:r>
      <w:r>
        <w:t xml:space="preserve"> </w:t>
      </w:r>
      <w:r>
        <w:t xml:space="preserve">IBR on frequency control-related integration costs and how these costs</w:t>
      </w:r>
      <w:r>
        <w:t xml:space="preserve"> </w:t>
      </w:r>
      <w:r>
        <w:t xml:space="preserve">can be minimised</w:t>
      </w:r>
      <w:r>
        <w:t xml:space="preserve"> </w:t>
      </w:r>
      <w:r>
        <w:t xml:space="preserve">(</w:t>
      </w:r>
      <w:hyperlink w:anchor="ref-Ela2011">
        <w:r>
          <w:rPr>
            <w:rStyle w:val="Hyperlink"/>
            <w:bCs/>
            <w:b/>
          </w:rPr>
          <w:t xml:space="preserve">Ela2011?</w:t>
        </w:r>
      </w:hyperlink>
      <w:r>
        <w:t xml:space="preserve">;</w:t>
      </w:r>
      <w:r>
        <w:t xml:space="preserve"> </w:t>
      </w:r>
      <w:hyperlink w:anchor="ref-Riesz2015b">
        <w:r>
          <w:rPr>
            <w:rStyle w:val="Hyperlink"/>
            <w:bCs/>
            <w:b/>
          </w:rPr>
          <w:t xml:space="preserve">Riesz2015b?</w:t>
        </w:r>
      </w:hyperlink>
      <w:r>
        <w:t xml:space="preserve">)</w:t>
      </w:r>
      <w:r>
        <w:t xml:space="preserve">. However, for reasons discussed</w:t>
      </w:r>
      <w:r>
        <w:t xml:space="preserve"> </w:t>
      </w:r>
      <w:r>
        <w:t xml:space="preserve">in</w:t>
      </w:r>
      <w:r>
        <w:t xml:space="preserve"> </w:t>
      </w:r>
      <w:hyperlink w:anchor="sec:ibr_freq">
        <w:r>
          <w:rPr>
            <w:rStyle w:val="Hyperlink"/>
          </w:rPr>
          <w:t xml:space="preserve">5</w:t>
        </w:r>
      </w:hyperlink>
      <w:r>
        <w:t xml:space="preserve"> </w:t>
      </w:r>
      <w:r>
        <w:t xml:space="preserve">and</w:t>
      </w:r>
      <w:r>
        <w:t xml:space="preserve"> </w:t>
      </w:r>
      <w:r>
        <w:t xml:space="preserve">as demonstrated by variable IBR frequency control trials</w:t>
      </w:r>
      <w:r>
        <w:t xml:space="preserve"> </w:t>
      </w:r>
      <w:r>
        <w:t xml:space="preserve">(</w:t>
      </w:r>
      <w:hyperlink w:anchor="ref-AEMO2018d">
        <w:r>
          <w:rPr>
            <w:rStyle w:val="Hyperlink"/>
            <w:bCs/>
            <w:b/>
          </w:rPr>
          <w:t xml:space="preserve">AEMO2018d?</w:t>
        </w:r>
      </w:hyperlink>
      <w:r>
        <w:t xml:space="preserve">;</w:t>
      </w:r>
      <w:r>
        <w:t xml:space="preserve"> </w:t>
      </w:r>
      <w:hyperlink w:anchor="ref-Loutan2017">
        <w:r>
          <w:rPr>
            <w:rStyle w:val="Hyperlink"/>
            <w:bCs/>
            <w:b/>
          </w:rPr>
          <w:t xml:space="preserve">Loutan2017?</w:t>
        </w:r>
      </w:hyperlink>
      <w:r>
        <w:t xml:space="preserve">)</w:t>
      </w:r>
      <w:r>
        <w:t xml:space="preserve"> </w:t>
      </w:r>
      <w:r>
        <w:t xml:space="preserve">and the provision of frequency control</w:t>
      </w:r>
      <w:r>
        <w:t xml:space="preserve"> </w:t>
      </w:r>
      <w:r>
        <w:t xml:space="preserve">services by BESS</w:t>
      </w:r>
      <w:r>
        <w:t xml:space="preserve"> </w:t>
      </w:r>
      <w:r>
        <w:t xml:space="preserve">(</w:t>
      </w:r>
      <w:hyperlink w:anchor="ref-AustralianEnergyMarketOperator2018i">
        <w:r>
          <w:rPr>
            <w:rStyle w:val="Hyperlink"/>
            <w:bCs/>
            <w:b/>
          </w:rPr>
          <w:t xml:space="preserve">AustralianEnergyMarketOperator2018i?</w:t>
        </w:r>
      </w:hyperlink>
      <w:r>
        <w:t xml:space="preserve">)</w:t>
      </w:r>
      <w:r>
        <w:t xml:space="preserve">, there is both a</w:t>
      </w:r>
      <w:r>
        <w:t xml:space="preserve"> </w:t>
      </w:r>
      <w:r>
        <w:t xml:space="preserve">growing need for and benefit to IBR providing frequency control</w:t>
      </w:r>
      <w:r>
        <w:t xml:space="preserve"> </w:t>
      </w:r>
      <w:r>
        <w:t xml:space="preserve">services. In markets such as Australia’s NEM, many IBR can participate</w:t>
      </w:r>
      <w:r>
        <w:t xml:space="preserve"> </w:t>
      </w:r>
      <w:r>
        <w:t xml:space="preserve">in frequency control services markets but choose not to as their</w:t>
      </w:r>
      <w:r>
        <w:t xml:space="preserve"> </w:t>
      </w:r>
      <w:r>
        <w:t xml:space="preserve">business models rely on revenue from energy provision and the</w:t>
      </w:r>
      <w:r>
        <w:t xml:space="preserve"> </w:t>
      </w:r>
      <w:r>
        <w:t xml:space="preserve">opportunity-cost of participation is too high</w:t>
      </w:r>
      <w:r>
        <w:t xml:space="preserve"> </w:t>
      </w:r>
      <w:r>
        <w:t xml:space="preserve">(</w:t>
      </w:r>
      <w:hyperlink w:anchor="ref-AEMO2018d">
        <w:r>
          <w:rPr>
            <w:rStyle w:val="Hyperlink"/>
            <w:bCs/>
            <w:b/>
          </w:rPr>
          <w:t xml:space="preserve">AEMO2018d?</w:t>
        </w:r>
      </w:hyperlink>
      <w:r>
        <w:t xml:space="preserve">)</w:t>
      </w:r>
      <w:r>
        <w:t xml:space="preserve">. An active</w:t>
      </w:r>
      <w:r>
        <w:t xml:space="preserve"> </w:t>
      </w:r>
      <w:r>
        <w:t xml:space="preserve">area of interest is designing frequency control services markets and the</w:t>
      </w:r>
      <w:r>
        <w:t xml:space="preserve"> </w:t>
      </w:r>
      <w:r>
        <w:t xml:space="preserve">revenue earned within them to incentivise IBR participation and</w:t>
      </w:r>
      <w:r>
        <w:t xml:space="preserve"> </w:t>
      </w:r>
      <w:r>
        <w:t xml:space="preserve">investment in frequency control capabilities, particularly as system</w:t>
      </w:r>
      <w:r>
        <w:t xml:space="preserve"> </w:t>
      </w:r>
      <w:r>
        <w:t xml:space="preserve">security requirements change over time and as high instantaneous IBR</w:t>
      </w:r>
      <w:r>
        <w:t xml:space="preserve"> </w:t>
      </w:r>
      <w:r>
        <w:t xml:space="preserve">penetrations are often associated with low energy prices</w:t>
      </w:r>
      <w:r>
        <w:t xml:space="preserve"> </w:t>
      </w:r>
      <w:r>
        <w:t xml:space="preserve">(</w:t>
      </w:r>
      <w:hyperlink w:anchor="ref-Ela2019">
        <w:r>
          <w:rPr>
            <w:rStyle w:val="Hyperlink"/>
            <w:bCs/>
            <w:b/>
          </w:rPr>
          <w:t xml:space="preserve">Ela2019?</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90"/>
    <w:bookmarkEnd w:id="91"/>
    <w:bookmarkStart w:id="95" w:name="sec:regulatory_mech"/>
    <w:p>
      <w:pPr>
        <w:pStyle w:val="Heading5"/>
      </w:pPr>
      <w:r>
        <w:rPr>
          <w:rStyle w:val="SectionNumber"/>
        </w:rPr>
        <w:t xml:space="preserve">4.6.4.1.3</w:t>
      </w:r>
      <w:r>
        <w:tab/>
      </w:r>
      <w:r>
        <w:t xml:space="preserve">Regulatory mechanisms</w:t>
      </w:r>
    </w:p>
    <w:p>
      <w:pPr>
        <w:pStyle w:val="FirstParagraph"/>
      </w:pPr>
      <w:r>
        <w:t xml:space="preserve">Regulatory mechanisms, such as equipment technical standards, grid codes</w:t>
      </w:r>
      <w:r>
        <w:t xml:space="preserve"> </w:t>
      </w:r>
      <w:r>
        <w:t xml:space="preserve">and system operator intervention, were used by monopoly electric</w:t>
      </w:r>
      <w:r>
        <w:t xml:space="preserve"> </w:t>
      </w:r>
      <w:r>
        <w:t xml:space="preserve">utilities and system operators to procure sufficient frequency control</w:t>
      </w:r>
      <w:r>
        <w:t xml:space="preserve"> </w:t>
      </w:r>
      <w:r>
        <w:t xml:space="preserve">response prior to implementation of frequency control services markets.</w:t>
      </w:r>
      <w:r>
        <w:t xml:space="preserve"> </w:t>
      </w:r>
      <w:r>
        <w:t xml:space="preserve">Even now, regulatory mechanisms are used in conjunction with</w:t>
      </w:r>
      <w:r>
        <w:t xml:space="preserve"> </w:t>
      </w:r>
      <w:r>
        <w:t xml:space="preserve">market-based mechanisms to procure frequency control services. In fact,</w:t>
      </w:r>
      <w:r>
        <w:t xml:space="preserve"> </w:t>
      </w:r>
      <w:r>
        <w:t xml:space="preserve">the processes of designing and regulating market rules are in and of</w:t>
      </w:r>
      <w:r>
        <w:t xml:space="preserve"> </w:t>
      </w:r>
      <w:r>
        <w:t xml:space="preserve">themselves regulatory mechanisms</w:t>
      </w:r>
      <w:r>
        <w:t xml:space="preserve"> </w:t>
      </w:r>
      <w:r>
        <w:t xml:space="preserve">(</w:t>
      </w:r>
      <w:hyperlink w:anchor="ref-Sioshansi2006">
        <w:r>
          <w:rPr>
            <w:rStyle w:val="Hyperlink"/>
            <w:bCs/>
            <w:b/>
          </w:rPr>
          <w:t xml:space="preserve">Sioshansi2006?</w:t>
        </w:r>
      </w:hyperlink>
      <w:r>
        <w:t xml:space="preserve">)</w:t>
      </w:r>
      <w:r>
        <w:t xml:space="preserve">.</w:t>
      </w:r>
    </w:p>
    <w:bookmarkStart w:id="92" w:name="X3391760bd5fbf7a4e8180a9b9428c88ad1dc1e6"/>
    <w:p>
      <w:pPr>
        <w:pStyle w:val="Heading6"/>
      </w:pPr>
      <w:r>
        <w:rPr>
          <w:rStyle w:val="SectionNumber"/>
        </w:rPr>
        <w:t xml:space="preserve">4.6.4.1.3.1</w:t>
      </w:r>
      <w:r>
        <w:tab/>
      </w:r>
      <w:r>
        <w:t xml:space="preserve">Potential benefits of regulatory mechanisms</w:t>
      </w:r>
    </w:p>
    <w:p>
      <w:pPr>
        <w:pStyle w:val="FirstParagraph"/>
      </w:pPr>
      <w:r>
        <w:t xml:space="preserve">Regulatory mechanisms are ideal for mandating basic frequency control</w:t>
      </w:r>
      <w:r>
        <w:t xml:space="preserve"> </w:t>
      </w:r>
      <w:r>
        <w:t xml:space="preserve">capabilities as a condition for access or where markets may be difficult</w:t>
      </w:r>
      <w:r>
        <w:t xml:space="preserve"> </w:t>
      </w:r>
      <w:r>
        <w:t xml:space="preserve">to design or suffer from major flaws such as a concentration of market</w:t>
      </w:r>
      <w:r>
        <w:t xml:space="preserve"> </w:t>
      </w:r>
      <w:r>
        <w:t xml:space="preserve">power, oversupply of a product or the issues discussed in</w:t>
      </w:r>
      <w:r>
        <w:t xml:space="preserve"> </w:t>
      </w:r>
      <w:hyperlink w:anchor="sec:challgnes_fcas_markets">
        <w:r>
          <w:rPr>
            <w:rStyle w:val="Hyperlink"/>
          </w:rPr>
          <w:t xml:space="preserve">6.1.4</w:t>
        </w:r>
      </w:hyperlink>
      <w:r>
        <w:t xml:space="preserve"> </w:t>
      </w:r>
      <w:r>
        <w:t xml:space="preserve">(</w:t>
      </w:r>
      <w:hyperlink w:anchor="ref-Ela2012b">
        <w:r>
          <w:rPr>
            <w:rStyle w:val="Hyperlink"/>
            <w:bCs/>
            <w:b/>
          </w:rPr>
          <w:t xml:space="preserve">Ela2012b?</w:t>
        </w:r>
      </w:hyperlink>
      <w:r>
        <w:t xml:space="preserve">)</w:t>
      </w:r>
      <w:r>
        <w:t xml:space="preserve">.</w:t>
      </w:r>
    </w:p>
    <w:bookmarkEnd w:id="92"/>
    <w:bookmarkStart w:id="93" w:name="shortfalls-of-regulatory-mechanisms"/>
    <w:p>
      <w:pPr>
        <w:pStyle w:val="Heading6"/>
      </w:pPr>
      <w:r>
        <w:rPr>
          <w:rStyle w:val="SectionNumber"/>
        </w:rPr>
        <w:t xml:space="preserve">4.6.4.1.3.2</w:t>
      </w:r>
      <w:r>
        <w:tab/>
      </w:r>
      <w:r>
        <w:t xml:space="preserve">Shortfalls of regulatory mechanisms</w:t>
      </w:r>
    </w:p>
    <w:p>
      <w:pPr>
        <w:pStyle w:val="FirstParagraph"/>
      </w:pPr>
      <w:r>
        <w:t xml:space="preserve">It may be difficult for regulatory mechanisms to ensure that sufficient</w:t>
      </w:r>
      <w:r>
        <w:t xml:space="preserve"> </w:t>
      </w:r>
      <w:r>
        <w:t xml:space="preserve">frequency control services can be procured in power systems and</w:t>
      </w:r>
      <w:r>
        <w:t xml:space="preserve"> </w:t>
      </w:r>
      <w:r>
        <w:t xml:space="preserve">electricity markets that are rapidly facing more power electronic-based</w:t>
      </w:r>
      <w:r>
        <w:t xml:space="preserve"> </w:t>
      </w:r>
      <w:r>
        <w:t xml:space="preserve">control systems, lower levels of operational inertial response and</w:t>
      </w:r>
      <w:r>
        <w:t xml:space="preserve"> </w:t>
      </w:r>
      <w:r>
        <w:t xml:space="preserve">higher variability and uncertainty of different scales and nature.</w:t>
      </w:r>
      <w:r>
        <w:t xml:space="preserve"> </w:t>
      </w:r>
      <w:r>
        <w:t xml:space="preserve">Prescriptive regulatory mechanisms, such as grid codes, are often only</w:t>
      </w:r>
      <w:r>
        <w:t xml:space="preserve"> </w:t>
      </w:r>
      <w:r>
        <w:t xml:space="preserve">updated after a number of years to reduce the compliance burden placed</w:t>
      </w:r>
      <w:r>
        <w:t xml:space="preserve"> </w:t>
      </w:r>
      <w:r>
        <w:t xml:space="preserve">on connecting generators and loads. As such, they are slow to respond to</w:t>
      </w:r>
      <w:r>
        <w:t xml:space="preserve"> </w:t>
      </w:r>
      <w:r>
        <w:t xml:space="preserve">changing frequency control capabilities and requirements. This delay can</w:t>
      </w:r>
      <w:r>
        <w:t xml:space="preserve"> </w:t>
      </w:r>
      <w:r>
        <w:t xml:space="preserve">make new standards and requirements reactive rather than proactive. For</w:t>
      </w:r>
      <w:r>
        <w:t xml:space="preserve"> </w:t>
      </w:r>
      <w:r>
        <w:t xml:space="preserve">example, AEMO can only review generator technical performance standards</w:t>
      </w:r>
      <w:r>
        <w:t xml:space="preserve"> </w:t>
      </w:r>
      <w:r>
        <w:t xml:space="preserve">every 5 years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a timeframe in</w:t>
      </w:r>
      <w:r>
        <w:t xml:space="preserve"> </w:t>
      </w:r>
      <w:r>
        <w:t xml:space="preserve">which the solar PV capacity installed in the NEM has more than tripled</w:t>
      </w:r>
      <w:r>
        <w:t xml:space="preserve"> </w:t>
      </w:r>
      <w:r>
        <w:t xml:space="preserve">(2014-2019)</w:t>
      </w:r>
      <w:r>
        <w:t xml:space="preserve"> </w:t>
      </w:r>
      <w:r>
        <w:t xml:space="preserve">(</w:t>
      </w:r>
      <w:hyperlink w:anchor="ref-AustralianPVInstitute">
        <w:r>
          <w:rPr>
            <w:rStyle w:val="Hyperlink"/>
            <w:bCs/>
            <w:b/>
          </w:rPr>
          <w:t xml:space="preserve">AustralianPVInstitute?</w:t>
        </w:r>
      </w:hyperlink>
      <w:r>
        <w:t xml:space="preserve">)</w:t>
      </w:r>
      <w:r>
        <w:t xml:space="preserve">.</w:t>
      </w:r>
    </w:p>
    <w:bookmarkEnd w:id="93"/>
    <w:bookmarkStart w:id="94" w:name="X0f25f8752eaf04aa0cbe7d2ab0790d3724a816d"/>
    <w:p>
      <w:pPr>
        <w:pStyle w:val="Heading6"/>
      </w:pPr>
      <w:r>
        <w:rPr>
          <w:rStyle w:val="SectionNumber"/>
        </w:rPr>
        <w:t xml:space="preserve">4.6.4.1.3.3</w:t>
      </w:r>
      <w:r>
        <w:tab/>
      </w:r>
      <w:r>
        <w:t xml:space="preserve">Regulatory requirements as a solution to market failures</w:t>
      </w:r>
    </w:p>
    <w:p>
      <w:pPr>
        <w:pStyle w:val="FirstParagraph"/>
      </w:pPr>
      <w:r>
        <w:t xml:space="preserve">Regulatory mechanisms are being increasingly used in power system</w:t>
      </w:r>
      <w:r>
        <w:t xml:space="preserve"> </w:t>
      </w:r>
      <w:r>
        <w:t xml:space="preserve">jurisdictions where frequency control services markets have failed to</w:t>
      </w:r>
      <w:r>
        <w:t xml:space="preserve"> </w:t>
      </w:r>
      <w:r>
        <w:t xml:space="preserve">incentivise or procure or appropriate capabilities and services, or</w:t>
      </w:r>
      <w:r>
        <w:t xml:space="preserve"> </w:t>
      </w:r>
      <w:r>
        <w:t xml:space="preserve">where there is significant uncertainty around frequency response from</w:t>
      </w:r>
      <w:r>
        <w:t xml:space="preserve"> </w:t>
      </w:r>
      <w:r>
        <w:t xml:space="preserve">generation. For example, several power systems, including the Australian</w:t>
      </w:r>
      <w:r>
        <w:t xml:space="preserve"> </w:t>
      </w:r>
      <w:r>
        <w:t xml:space="preserve">NEM, have mandated some degree of PFC provision from connected</w:t>
      </w:r>
      <w:r>
        <w:t xml:space="preserve"> </w:t>
      </w:r>
      <w:r>
        <w:t xml:space="preserve">generators in their grid codes or market rules</w:t>
      </w:r>
      <w:r>
        <w:t xml:space="preserve"> </w:t>
      </w:r>
      <w:r>
        <w:t xml:space="preserve">(</w:t>
      </w:r>
      <w:hyperlink w:anchor="ref-AustralianEnergyMarketCommission2020">
        <w:r>
          <w:rPr>
            <w:rStyle w:val="Hyperlink"/>
            <w:bCs/>
            <w:b/>
          </w:rPr>
          <w:t xml:space="preserve">AustralianEnergyMarketCommission2020?</w:t>
        </w:r>
      </w:hyperlink>
      <w:r>
        <w:t xml:space="preserve">;</w:t>
      </w:r>
      <w:r>
        <w:t xml:space="preserve"> </w:t>
      </w:r>
      <w:hyperlink w:anchor="ref-Roberts2018">
        <w:r>
          <w:rPr>
            <w:rStyle w:val="Hyperlink"/>
            <w:bCs/>
            <w:b/>
          </w:rPr>
          <w:t xml:space="preserve">Roberts2018?</w:t>
        </w:r>
      </w:hyperlink>
      <w:r>
        <w:t xml:space="preserve">)</w:t>
      </w:r>
      <w:r>
        <w:t xml:space="preserve">. Similarly,</w:t>
      </w:r>
      <w:r>
        <w:t xml:space="preserve"> </w:t>
      </w:r>
      <w:r>
        <w:t xml:space="preserve">frequency response has also been specified as a requirement for new</w:t>
      </w:r>
      <w:r>
        <w:t xml:space="preserve"> </w:t>
      </w:r>
      <w:r>
        <w:t xml:space="preserve">generation (primarily IBR) to access and connect to the NEM and ISO/RTO</w:t>
      </w:r>
      <w:r>
        <w:t xml:space="preserve"> </w:t>
      </w:r>
      <w:r>
        <w:t xml:space="preserve">markets in the U.S.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w:t>
      </w:r>
      <w:hyperlink w:anchor="X5a03490581796d3b520e35df43ea26b7e4a4ec7">
        <w:r>
          <w:rPr>
            <w:rStyle w:val="Hyperlink"/>
            <w:bCs/>
            <w:b/>
          </w:rPr>
          <w:t xml:space="preserve">FederalEnergyRegulatoryCommissionFERC2018?</w:t>
        </w:r>
      </w:hyperlink>
      <w:r>
        <w:t xml:space="preserve">)</w:t>
      </w:r>
      <w:r>
        <w:t xml:space="preserve">.</w:t>
      </w:r>
    </w:p>
    <w:bookmarkEnd w:id="94"/>
    <w:bookmarkEnd w:id="95"/>
    <w:bookmarkEnd w:id="96"/>
    <w:bookmarkStart w:id="97" w:name="role-of-regulatory-mechanisms"/>
    <w:p>
      <w:pPr>
        <w:pStyle w:val="Heading4"/>
      </w:pPr>
      <w:r>
        <w:rPr>
          <w:rStyle w:val="SectionNumber"/>
        </w:rPr>
        <w:t xml:space="preserve">4.6.4.2</w:t>
      </w:r>
      <w:r>
        <w:tab/>
      </w:r>
      <w:r>
        <w:t xml:space="preserve">Role of regulatory mechanisms</w:t>
      </w:r>
    </w:p>
    <w:p>
      <w:pPr>
        <w:pStyle w:val="FirstParagraph"/>
      </w:pPr>
      <w:r>
        <w:t xml:space="preserve">Though processes across several jurisdictions are underway to address</w:t>
      </w:r>
      <w:r>
        <w:t xml:space="preserve"> </w:t>
      </w:r>
      <w:r>
        <w:t xml:space="preserve">frequency control services market deficiencies (e.g. the Australian</w:t>
      </w:r>
      <w:r>
        <w:t xml:space="preserve"> </w:t>
      </w:r>
      <w:r>
        <w:t xml:space="preserve">NEM’s post-2025 market design project</w:t>
      </w:r>
      <w:r>
        <w:t xml:space="preserve"> </w:t>
      </w:r>
      <w:r>
        <w:t xml:space="preserve">(</w:t>
      </w:r>
      <w:hyperlink w:anchor="ref-EnergySecurityBoard2020">
        <w:r>
          <w:rPr>
            <w:rStyle w:val="Hyperlink"/>
            <w:bCs/>
            <w:b/>
          </w:rPr>
          <w:t xml:space="preserve">EnergySecurityBoard2020?</w:t>
        </w:r>
      </w:hyperlink>
      <w:r>
        <w:t xml:space="preserve">)</w:t>
      </w:r>
      <w:r>
        <w:t xml:space="preserve">, the</w:t>
      </w:r>
      <w:r>
        <w:t xml:space="preserve"> </w:t>
      </w:r>
      <w:r>
        <w:t xml:space="preserve">Electric Reliability Council of Texas’ (ERCOT) Nodal Protocol Revision</w:t>
      </w:r>
      <w:r>
        <w:t xml:space="preserve"> </w:t>
      </w:r>
      <w:r>
        <w:t xml:space="preserve">Request</w:t>
      </w:r>
      <w:r>
        <w:t xml:space="preserve"> </w:t>
      </w:r>
      <w:r>
        <w:t xml:space="preserve">(</w:t>
      </w:r>
      <w:hyperlink w:anchor="ref-Ela2019">
        <w:r>
          <w:rPr>
            <w:rStyle w:val="Hyperlink"/>
            <w:bCs/>
            <w:b/>
          </w:rPr>
          <w:t xml:space="preserve">Ela2019?</w:t>
        </w:r>
      </w:hyperlink>
      <w:r>
        <w:t xml:space="preserve">)</w:t>
      </w:r>
      <w:r>
        <w:t xml:space="preserve"> </w:t>
      </w:r>
      <w:r>
        <w:t xml:space="preserve">and the EU-SysFlex project</w:t>
      </w:r>
      <w:r>
        <w:t xml:space="preserve"> </w:t>
      </w:r>
      <w:r>
        <w:t xml:space="preserve">(</w:t>
      </w:r>
      <w:hyperlink w:anchor="ref-EU-SysFlex2019">
        <w:r>
          <w:rPr>
            <w:rStyle w:val="Hyperlink"/>
            <w:bCs/>
            <w:b/>
          </w:rPr>
          <w:t xml:space="preserve">EU-SysFlex2019?</w:t>
        </w:r>
      </w:hyperlink>
      <w:r>
        <w:t xml:space="preserve">)</w:t>
      </w:r>
      <w:r>
        <w:t xml:space="preserve">), there</w:t>
      </w:r>
      <w:r>
        <w:t xml:space="preserve"> </w:t>
      </w:r>
      <w:r>
        <w:t xml:space="preserve">has been relatively little work around what role regulatory mechanisms</w:t>
      </w:r>
      <w:r>
        <w:t xml:space="preserve"> </w:t>
      </w:r>
      <w:r>
        <w:t xml:space="preserve">may play, how they interact with market-based mechanisms and the</w:t>
      </w:r>
      <w:r>
        <w:t xml:space="preserve"> </w:t>
      </w:r>
      <w:r>
        <w:t xml:space="preserve">relative benefits and costs of further frequency control services</w:t>
      </w:r>
      <w:r>
        <w:t xml:space="preserve"> </w:t>
      </w:r>
      <w:r>
        <w:t xml:space="preserve">marketisation, both now and into the future.</w:t>
      </w:r>
    </w:p>
    <w:bookmarkEnd w:id="97"/>
    <w:bookmarkEnd w:id="98"/>
    <w:bookmarkStart w:id="116" w:name="sec:designing_arrangements"/>
    <w:p>
      <w:pPr>
        <w:pStyle w:val="Heading3"/>
      </w:pPr>
      <w:r>
        <w:rPr>
          <w:rStyle w:val="SectionNumber"/>
        </w:rPr>
        <w:t xml:space="preserve">4.6.5</w:t>
      </w:r>
      <w:r>
        <w:tab/>
      </w:r>
      <w:r>
        <w:t xml:space="preserve">Designing frequency control arrangements</w:t>
      </w:r>
    </w:p>
    <w:p>
      <w:pPr>
        <w:pStyle w:val="FirstParagraph"/>
      </w:pPr>
      <w:r>
        <w:t xml:space="preserve">Designing frequency control arrangements is a control, regulatory and</w:t>
      </w:r>
      <w:r>
        <w:t xml:space="preserve"> </w:t>
      </w:r>
      <w:r>
        <w:t xml:space="preserve">market design problem which has become more complex in recent years due</w:t>
      </w:r>
      <w:r>
        <w:t xml:space="preserve"> </w:t>
      </w:r>
      <w:r>
        <w:t xml:space="preserve">to electricity industry restructuring and growing penetrations of IBR</w:t>
      </w:r>
      <w:r>
        <w:t xml:space="preserve"> </w:t>
      </w:r>
      <w:r>
        <w:t xml:space="preserve">(</w:t>
      </w:r>
      <w:hyperlink w:anchor="ref-VanderVeen2016">
        <w:r>
          <w:rPr>
            <w:rStyle w:val="Hyperlink"/>
            <w:bCs/>
            <w:b/>
          </w:rPr>
          <w:t xml:space="preserve">VanderVeen2016?</w:t>
        </w:r>
      </w:hyperlink>
      <w:r>
        <w:t xml:space="preserve">)</w:t>
      </w:r>
      <w:r>
        <w:t xml:space="preserve">.</w:t>
      </w:r>
    </w:p>
    <w:bookmarkStart w:id="99" w:name="outcomes-of-good-design"/>
    <w:p>
      <w:pPr>
        <w:pStyle w:val="Heading4"/>
      </w:pPr>
      <w:r>
        <w:rPr>
          <w:rStyle w:val="SectionNumber"/>
        </w:rPr>
        <w:t xml:space="preserve">4.6.5.1</w:t>
      </w:r>
      <w:r>
        <w:tab/>
      </w:r>
      <w:r>
        <w:t xml:space="preserve">Outcomes of good design</w:t>
      </w:r>
    </w:p>
    <w:p>
      <w:pPr>
        <w:pStyle w:val="FirstParagraph"/>
      </w:pPr>
      <w:r>
        <w:t xml:space="preserve">It is important to define desired outcomes of the design process. Below,</w:t>
      </w:r>
      <w:r>
        <w:t xml:space="preserve"> </w:t>
      </w:r>
      <w:r>
        <w:t xml:space="preserve">we present three outcomes that have previously been proposed for</w:t>
      </w:r>
      <w:r>
        <w:t xml:space="preserve"> </w:t>
      </w:r>
      <w:r>
        <w:t xml:space="preserve">designing ancillary/system services arrangements (including frequency</w:t>
      </w:r>
      <w:r>
        <w:t xml:space="preserve"> </w:t>
      </w:r>
      <w:r>
        <w:t xml:space="preserve">control arrangements) by</w:t>
      </w:r>
      <w:r>
        <w:t xml:space="preserve"> </w:t>
      </w:r>
      <w:r>
        <w:t xml:space="preserve">(</w:t>
      </w:r>
      <w:hyperlink w:anchor="ref-Rebours2007b">
        <w:r>
          <w:rPr>
            <w:rStyle w:val="Hyperlink"/>
            <w:bCs/>
            <w:b/>
          </w:rPr>
          <w:t xml:space="preserve">Rebours2007b?</w:t>
        </w:r>
      </w:hyperlink>
      <w:r>
        <w:t xml:space="preserve">)</w:t>
      </w:r>
      <w:r>
        <w:t xml:space="preserve"> </w:t>
      </w:r>
      <w:r>
        <w:t xml:space="preserve">and the</w:t>
      </w:r>
      <w:r>
        <w:t xml:space="preserve"> </w:t>
      </w:r>
      <w:r>
        <w:t xml:space="preserve">(</w:t>
      </w:r>
      <w:hyperlink w:anchor="X807143375c276e39c7b29baa6194370d05520d0">
        <w:r>
          <w:rPr>
            <w:rStyle w:val="Hyperlink"/>
            <w:bCs/>
            <w:b/>
          </w:rPr>
          <w:t xml:space="preserve">AustralianEnergyMarketCommission2020a?</w:t>
        </w:r>
      </w:hyperlink>
      <w:r>
        <w:t xml:space="preserve">)</w:t>
      </w:r>
      <w:r>
        <w:t xml:space="preserve">.</w:t>
      </w:r>
    </w:p>
    <w:p>
      <w:pPr>
        <w:numPr>
          <w:ilvl w:val="0"/>
          <w:numId w:val="1006"/>
        </w:numPr>
      </w:pPr>
      <w:r>
        <w:rPr>
          <w:bCs/>
          <w:b/>
        </w:rPr>
        <w:t xml:space="preserve">Effectiveness</w:t>
      </w:r>
      <w:r>
        <w:t xml:space="preserve">. This entails both sufficient quantity and</w:t>
      </w:r>
      <w:r>
        <w:t xml:space="preserve"> </w:t>
      </w:r>
      <w:r>
        <w:t xml:space="preserve">performance of procured frequency control services to ensure that</w:t>
      </w:r>
      <w:r>
        <w:t xml:space="preserve"> </w:t>
      </w:r>
      <w:r>
        <w:t xml:space="preserve">power system security requirements are met.</w:t>
      </w:r>
    </w:p>
    <w:p>
      <w:pPr>
        <w:numPr>
          <w:ilvl w:val="0"/>
          <w:numId w:val="1006"/>
        </w:numPr>
      </w:pPr>
      <w:r>
        <w:rPr>
          <w:bCs/>
          <w:b/>
        </w:rPr>
        <w:t xml:space="preserve">Efficiency</w:t>
      </w:r>
      <w:r>
        <w:t xml:space="preserve">. Efficient frequency control arrangements will</w:t>
      </w:r>
      <w:r>
        <w:t xml:space="preserve"> </w:t>
      </w:r>
      <w:r>
        <w:t xml:space="preserve">procure services at the lowest cost to the system, both now</w:t>
      </w:r>
      <w:r>
        <w:t xml:space="preserve"> </w:t>
      </w:r>
      <w:r>
        <w:t xml:space="preserve">(productive efficiency) and into the future (dynamic efficiency).</w:t>
      </w:r>
      <w:r>
        <w:t xml:space="preserve"> </w:t>
      </w:r>
      <w:r>
        <w:t xml:space="preserve">Furthermore, efficient arrangements should also procure the right</w:t>
      </w:r>
      <w:r>
        <w:t xml:space="preserve"> </w:t>
      </w:r>
      <w:r>
        <w:t xml:space="preserve">mix of services according to user and/or system needs (</w:t>
      </w:r>
      <w:r>
        <w:rPr>
          <w:iCs/>
          <w:i/>
        </w:rPr>
        <w:t xml:space="preserve">allocative</w:t>
      </w:r>
      <w:r>
        <w:rPr>
          <w:iCs/>
          <w:i/>
        </w:rPr>
        <w:t xml:space="preserve"> </w:t>
      </w:r>
      <w:r>
        <w:rPr>
          <w:iCs/>
          <w:i/>
        </w:rPr>
        <w:t xml:space="preserve">efficiency</w:t>
      </w:r>
      <w:r>
        <w:t xml:space="preserve">).</w:t>
      </w:r>
    </w:p>
    <w:p>
      <w:pPr>
        <w:numPr>
          <w:ilvl w:val="0"/>
          <w:numId w:val="1006"/>
        </w:numPr>
      </w:pPr>
      <w:r>
        <w:rPr>
          <w:bCs/>
          <w:b/>
        </w:rPr>
        <w:t xml:space="preserve">Minimising procurement costs and complexity</w:t>
      </w:r>
      <w:r>
        <w:t xml:space="preserve">. Procurement and</w:t>
      </w:r>
      <w:r>
        <w:t xml:space="preserve"> </w:t>
      </w:r>
      <w:r>
        <w:t xml:space="preserve">verification of delivery of frequency control services may involve</w:t>
      </w:r>
      <w:r>
        <w:t xml:space="preserve"> </w:t>
      </w:r>
      <w:r>
        <w:t xml:space="preserve">significant costs associated with facilitation and monitoring. This</w:t>
      </w:r>
      <w:r>
        <w:t xml:space="preserve"> </w:t>
      </w:r>
      <w:r>
        <w:t xml:space="preserve">could include metering equipment, IT systems and additional staffing</w:t>
      </w:r>
      <w:r>
        <w:t xml:space="preserve"> </w:t>
      </w:r>
      <w:r>
        <w:t xml:space="preserve">costs. Complex procurement arrangements may also have unintended and</w:t>
      </w:r>
      <w:r>
        <w:t xml:space="preserve"> </w:t>
      </w:r>
      <w:r>
        <w:t xml:space="preserve">unforeseen consequences on processes and markets that interface with</w:t>
      </w:r>
      <w:r>
        <w:t xml:space="preserve"> </w:t>
      </w:r>
      <w:r>
        <w:t xml:space="preserve">these arrangements, such as the energy market and other ancillary</w:t>
      </w:r>
      <w:r>
        <w:t xml:space="preserve"> </w:t>
      </w:r>
      <w:r>
        <w:t xml:space="preserve">services markets.</w:t>
      </w:r>
    </w:p>
    <w:bookmarkEnd w:id="99"/>
    <w:bookmarkStart w:id="104" w:name="complexity-of-the-design-process"/>
    <w:p>
      <w:pPr>
        <w:pStyle w:val="Heading4"/>
      </w:pPr>
      <w:r>
        <w:rPr>
          <w:rStyle w:val="SectionNumber"/>
        </w:rPr>
        <w:t xml:space="preserve">4.6.5.2</w:t>
      </w:r>
      <w:r>
        <w:tab/>
      </w:r>
      <w:r>
        <w:t xml:space="preserve">Complexity of the design process</w:t>
      </w:r>
    </w:p>
    <w:p>
      <w:pPr>
        <w:pStyle w:val="FirstParagraph"/>
      </w:pPr>
      <w:r>
        <w:t xml:space="preserve">Designing frequency control arrangements is a complex exercise in</w:t>
      </w:r>
      <w:r>
        <w:t xml:space="preserve"> </w:t>
      </w:r>
      <w:r>
        <w:t xml:space="preserve">managing interrelated and interacting capabilities, mechanisms and</w:t>
      </w:r>
      <w:r>
        <w:t xml:space="preserve"> </w:t>
      </w:r>
      <w:r>
        <w:t xml:space="preserve">objectives (</w:t>
      </w:r>
      <w:hyperlink w:anchor="fig:design_complexity">
        <w:r>
          <w:rPr>
            <w:rStyle w:val="Hyperlink"/>
          </w:rPr>
          <w:t xml:space="preserve">7</w:t>
        </w:r>
      </w:hyperlink>
      <w:r>
        <w:t xml:space="preserve">). The frequency control</w:t>
      </w:r>
      <w:r>
        <w:t xml:space="preserve"> </w:t>
      </w:r>
      <w:r>
        <w:rPr>
          <w:iCs/>
          <w:i/>
        </w:rPr>
        <w:t xml:space="preserve">capability</w:t>
      </w:r>
      <w:r>
        <w:t xml:space="preserve"> </w:t>
      </w:r>
      <w:r>
        <w:t xml:space="preserve">of a power system is distinct from its</w:t>
      </w:r>
      <w:r>
        <w:t xml:space="preserve"> </w:t>
      </w:r>
      <w:r>
        <w:rPr>
          <w:iCs/>
          <w:i/>
        </w:rPr>
        <w:t xml:space="preserve">performance</w:t>
      </w:r>
      <w:r>
        <w:t xml:space="preserve">, with a</w:t>
      </w:r>
      <w:r>
        <w:t xml:space="preserve"> </w:t>
      </w:r>
      <w:r>
        <w:rPr>
          <w:iCs/>
          <w:i/>
        </w:rPr>
        <w:t xml:space="preserve">control</w:t>
      </w:r>
      <w:r>
        <w:rPr>
          <w:iCs/>
          <w:i/>
        </w:rPr>
        <w:t xml:space="preserve"> </w:t>
      </w:r>
      <w:r>
        <w:rPr>
          <w:iCs/>
          <w:i/>
        </w:rPr>
        <w:t xml:space="preserve">strategy</w:t>
      </w:r>
      <w:r>
        <w:t xml:space="preserve"> </w:t>
      </w:r>
      <w:r>
        <w:t xml:space="preserve">defining how the former translates to the latter. The</w:t>
      </w:r>
      <w:r>
        <w:t xml:space="preserve"> </w:t>
      </w:r>
      <w:r>
        <w:t xml:space="preserve">frequency control capability of a power system is determined by the</w:t>
      </w:r>
      <w:r>
        <w:t xml:space="preserve"> </w:t>
      </w:r>
      <w:r>
        <w:t xml:space="preserve">physical characteristics and configuration of generators, loads and</w:t>
      </w:r>
      <w:r>
        <w:t xml:space="preserve"> </w:t>
      </w:r>
      <w:r>
        <w:t xml:space="preserve">network elements within a synchronous area.</w:t>
      </w:r>
    </w:p>
    <w:p>
      <w:pPr>
        <w:pStyle w:val="CaptionedFigure"/>
      </w:pPr>
      <w:r>
        <w:drawing>
          <wp:inline>
            <wp:extent cx="5334000" cy="3168729"/>
            <wp:effectExtent b="0" l="0" r="0" t="0"/>
            <wp:docPr descr="A diagrammatic depiction of the complexity involved in designing power system frequency control arrangements." title="" id="101" name="Picture"/>
            <a:graphic>
              <a:graphicData uri="http://schemas.openxmlformats.org/drawingml/2006/picture">
                <pic:pic>
                  <pic:nvPicPr>
                    <pic:cNvPr descr="source/figures/capability_performance-04.png" id="102" name="Picture"/>
                    <pic:cNvPicPr>
                      <a:picLocks noChangeArrowheads="1" noChangeAspect="1"/>
                    </pic:cNvPicPr>
                  </pic:nvPicPr>
                  <pic:blipFill>
                    <a:blip r:embed="rId100"/>
                    <a:stretch>
                      <a:fillRect/>
                    </a:stretch>
                  </pic:blipFill>
                  <pic:spPr bwMode="auto">
                    <a:xfrm>
                      <a:off x="0" y="0"/>
                      <a:ext cx="5334000" cy="3168729"/>
                    </a:xfrm>
                    <a:prstGeom prst="rect">
                      <a:avLst/>
                    </a:prstGeom>
                    <a:noFill/>
                    <a:ln w="9525">
                      <a:noFill/>
                      <a:headEnd/>
                      <a:tailEnd/>
                    </a:ln>
                  </pic:spPr>
                </pic:pic>
              </a:graphicData>
            </a:graphic>
          </wp:inline>
        </w:drawing>
      </w:r>
    </w:p>
    <w:p>
      <w:pPr>
        <w:pStyle w:val="ImageCaption"/>
      </w:pPr>
      <w:r>
        <w:t xml:space="preserve">Figure 6: A diagrammatic depiction of the complexity involved in designing power</w:t>
      </w:r>
      <w:r>
        <w:t xml:space="preserve"> </w:t>
      </w:r>
      <w:r>
        <w:t xml:space="preserve">system frequency control</w:t>
      </w:r>
      <w:r>
        <w:t xml:space="preserve"> </w:t>
      </w:r>
      <w:r>
        <w:t xml:space="preserve">arrangements.</w:t>
      </w:r>
    </w:p>
    <w:p>
      <w:pPr>
        <w:pStyle w:val="BodyText"/>
      </w:pPr>
      <w:r>
        <w:t xml:space="preserve">Frequency control services from capable resources are often mandated</w:t>
      </w:r>
      <w:r>
        <w:t xml:space="preserve"> </w:t>
      </w:r>
      <w:r>
        <w:t xml:space="preserve">through connection requirements or power system operator intervention</w:t>
      </w:r>
      <w:r>
        <w:t xml:space="preserve"> </w:t>
      </w:r>
      <w:r>
        <w:t xml:space="preserve">(see</w:t>
      </w:r>
      <w:r>
        <w:t xml:space="preserve"> </w:t>
      </w:r>
      <w:hyperlink w:anchor="sec:regulatory_mech">
        <w:r>
          <w:rPr>
            <w:rStyle w:val="Hyperlink"/>
          </w:rPr>
          <w:t xml:space="preserve">6.2</w:t>
        </w:r>
      </w:hyperlink>
      <w:r>
        <w:t xml:space="preserve">), incentivised through remunerative</w:t>
      </w:r>
      <w:r>
        <w:t xml:space="preserve"> </w:t>
      </w:r>
      <w:r>
        <w:t xml:space="preserve">schemes, or procured through a contract or spot market (see</w:t>
      </w:r>
      <w:r>
        <w:t xml:space="preserve"> </w:t>
      </w:r>
      <w:hyperlink w:anchor="sec:market_mech">
        <w:r>
          <w:rPr>
            <w:rStyle w:val="Hyperlink"/>
          </w:rPr>
          <w:t xml:space="preserve">6.1</w:t>
        </w:r>
      </w:hyperlink>
      <w:r>
        <w:t xml:space="preserve">)</w:t>
      </w:r>
      <w:r>
        <w:t xml:space="preserve"> </w:t>
      </w:r>
      <w:r>
        <w:t xml:space="preserve">(</w:t>
      </w:r>
      <w:hyperlink w:anchor="ref-Billimoria2020">
        <w:r>
          <w:rPr>
            <w:rStyle w:val="Hyperlink"/>
            <w:bCs/>
            <w:b/>
          </w:rPr>
          <w:t xml:space="preserve">Billimoria2020?</w:t>
        </w:r>
      </w:hyperlink>
      <w:r>
        <w:t xml:space="preserve">)</w:t>
      </w:r>
      <w:r>
        <w:t xml:space="preserve">. Together with the</w:t>
      </w:r>
      <w:r>
        <w:t xml:space="preserve"> </w:t>
      </w:r>
      <w:r>
        <w:t xml:space="preserve">control specification of frequency control products, these mechanisms</w:t>
      </w:r>
      <w:r>
        <w:t xml:space="preserve"> </w:t>
      </w:r>
      <w:r>
        <w:t xml:space="preserve">define a power system</w:t>
      </w:r>
      <w:r>
        <w:t xml:space="preserve"> </w:t>
      </w:r>
      <w:r>
        <w:rPr>
          <w:iCs/>
          <w:i/>
        </w:rPr>
        <w:t xml:space="preserve">control strategy</w:t>
      </w:r>
      <w:r>
        <w:t xml:space="preserve"> </w:t>
      </w:r>
      <w:r>
        <w:t xml:space="preserve">that dictates how capable</w:t>
      </w:r>
      <w:r>
        <w:t xml:space="preserve"> </w:t>
      </w:r>
      <w:r>
        <w:t xml:space="preserve">system resources respond to deviations, and therefore determine the</w:t>
      </w:r>
      <w:r>
        <w:t xml:space="preserve"> </w:t>
      </w:r>
      <w:r>
        <w:t xml:space="preserve">frequency control</w:t>
      </w:r>
      <w:r>
        <w:t xml:space="preserve"> </w:t>
      </w:r>
      <w:r>
        <w:rPr>
          <w:iCs/>
          <w:i/>
        </w:rPr>
        <w:t xml:space="preserve">performance</w:t>
      </w:r>
      <w:r>
        <w:t xml:space="preserve"> </w:t>
      </w:r>
      <w:r>
        <w:t xml:space="preserve">of a power system. The outcomes that</w:t>
      </w:r>
      <w:r>
        <w:t xml:space="preserve"> </w:t>
      </w:r>
      <w:r>
        <w:t xml:space="preserve">define frequency control performance can be divided into physical</w:t>
      </w:r>
      <w:r>
        <w:t xml:space="preserve"> </w:t>
      </w:r>
      <w:r>
        <w:t xml:space="preserve">performance criteria, which describe the effectiveness of frequency</w:t>
      </w:r>
      <w:r>
        <w:t xml:space="preserve"> </w:t>
      </w:r>
      <w:r>
        <w:t xml:space="preserve">control services provided, and economic objectives, which relate to the</w:t>
      </w:r>
      <w:r>
        <w:t xml:space="preserve"> </w:t>
      </w:r>
      <w:r>
        <w:t xml:space="preserve">productive, dynamic and price and cost-allocation efficiency of the</w:t>
      </w:r>
      <w:r>
        <w:t xml:space="preserve"> </w:t>
      </w:r>
      <w:r>
        <w:t xml:space="preserve">arrangements.</w:t>
      </w:r>
    </w:p>
    <w:bookmarkStart w:id="103" w:name="X1e784928a97ab8756574845e53376faa9452811"/>
    <w:p>
      <w:pPr>
        <w:pStyle w:val="Heading5"/>
      </w:pPr>
      <w:r>
        <w:rPr>
          <w:rStyle w:val="SectionNumber"/>
        </w:rPr>
        <w:t xml:space="preserve">4.6.5.2.1</w:t>
      </w:r>
      <w:r>
        <w:tab/>
      </w:r>
      <w:r>
        <w:t xml:space="preserve">Interactions between capability, strategy and performance</w:t>
      </w:r>
    </w:p>
    <w:p>
      <w:pPr>
        <w:pStyle w:val="FirstParagraph"/>
      </w:pPr>
      <w:r>
        <w:t xml:space="preserve">These three design layers often interact. Technical capabilities may</w:t>
      </w:r>
      <w:r>
        <w:t xml:space="preserve"> </w:t>
      </w:r>
      <w:r>
        <w:t xml:space="preserve">guide the design of the control strategy, and therefore the mechanisms</w:t>
      </w:r>
      <w:r>
        <w:t xml:space="preserve"> </w:t>
      </w:r>
      <w:r>
        <w:t xml:space="preserve">that define frequency control performance. An example of such a process</w:t>
      </w:r>
      <w:r>
        <w:t xml:space="preserve"> </w:t>
      </w:r>
      <w:r>
        <w:t xml:space="preserve">is the PJM Interconnection (an RTO) implementing a high frequency AGC</w:t>
      </w:r>
      <w:r>
        <w:t xml:space="preserve"> </w:t>
      </w:r>
      <w:r>
        <w:t xml:space="preserve">signal designed for BESS providing fast regulation frequency control</w:t>
      </w:r>
      <w:r>
        <w:t xml:space="preserve"> </w:t>
      </w:r>
      <w:r>
        <w:t xml:space="preserve">services</w:t>
      </w:r>
      <w:r>
        <w:t xml:space="preserve"> </w:t>
      </w:r>
      <w:r>
        <w:t xml:space="preserve">(</w:t>
      </w:r>
      <w:hyperlink w:anchor="ref-Benner2015">
        <w:r>
          <w:rPr>
            <w:rStyle w:val="Hyperlink"/>
            <w:bCs/>
            <w:b/>
          </w:rPr>
          <w:t xml:space="preserve">Benner2015?</w:t>
        </w:r>
      </w:hyperlink>
      <w:r>
        <w:t xml:space="preserve">;</w:t>
      </w:r>
      <w:r>
        <w:t xml:space="preserve"> </w:t>
      </w:r>
      <w:hyperlink w:anchor="ref-Brooks2019">
        <w:r>
          <w:rPr>
            <w:rStyle w:val="Hyperlink"/>
            <w:bCs/>
            <w:b/>
          </w:rPr>
          <w:t xml:space="preserve">Brooks2019?</w:t>
        </w:r>
      </w:hyperlink>
      <w:r>
        <w:t xml:space="preserve">)</w:t>
      </w:r>
      <w:r>
        <w:t xml:space="preserve">. Similarly, deficiencies in</w:t>
      </w:r>
      <w:r>
        <w:t xml:space="preserve"> </w:t>
      </w:r>
      <w:r>
        <w:t xml:space="preserve">performance can be addressed through modifying the control strategy to</w:t>
      </w:r>
      <w:r>
        <w:t xml:space="preserve"> </w:t>
      </w:r>
      <w:r>
        <w:t xml:space="preserve">procure additional or more suitable frequency control capability. The</w:t>
      </w:r>
      <w:r>
        <w:t xml:space="preserve"> </w:t>
      </w:r>
      <w:r>
        <w:t xml:space="preserve">California and Midcontinent ISOs have introduced ramping products to</w:t>
      </w:r>
      <w:r>
        <w:t xml:space="preserve"> </w:t>
      </w:r>
      <w:r>
        <w:t xml:space="preserve">address increasing variability and uncertainty in their power systems</w:t>
      </w:r>
      <w:r>
        <w:t xml:space="preserve"> </w:t>
      </w:r>
      <w:r>
        <w:t xml:space="preserve">(</w:t>
      </w:r>
      <w:hyperlink w:anchor="ref-Ela2016">
        <w:r>
          <w:rPr>
            <w:rStyle w:val="Hyperlink"/>
            <w:bCs/>
            <w:b/>
          </w:rPr>
          <w:t xml:space="preserve">Ela2016?</w:t>
        </w:r>
      </w:hyperlink>
      <w:r>
        <w:t xml:space="preserve">;</w:t>
      </w:r>
      <w:r>
        <w:t xml:space="preserve"> </w:t>
      </w:r>
      <w:hyperlink w:anchor="ref-Ela2017">
        <w:r>
          <w:rPr>
            <w:rStyle w:val="Hyperlink"/>
            <w:bCs/>
            <w:b/>
          </w:rPr>
          <w:t xml:space="preserve">Ela2017?</w:t>
        </w:r>
      </w:hyperlink>
      <w:r>
        <w:t xml:space="preserve">)</w:t>
      </w:r>
      <w:r>
        <w:t xml:space="preserve">.</w:t>
      </w:r>
    </w:p>
    <w:bookmarkEnd w:id="103"/>
    <w:bookmarkEnd w:id="104"/>
    <w:bookmarkStart w:id="105" w:name="diversity-of-design-outcomes"/>
    <w:p>
      <w:pPr>
        <w:pStyle w:val="Heading4"/>
      </w:pPr>
      <w:r>
        <w:rPr>
          <w:rStyle w:val="SectionNumber"/>
        </w:rPr>
        <w:t xml:space="preserve">4.6.5.3</w:t>
      </w:r>
      <w:r>
        <w:tab/>
      </w:r>
      <w:r>
        <w:t xml:space="preserve">Diversity of design outcomes</w:t>
      </w:r>
    </w:p>
    <w:p>
      <w:pPr>
        <w:pStyle w:val="FirstParagraph"/>
      </w:pPr>
      <w:r>
        <w:t xml:space="preserve">The design process has and will most likely continue to proceed</w:t>
      </w:r>
      <w:r>
        <w:t xml:space="preserve"> </w:t>
      </w:r>
      <w:r>
        <w:t xml:space="preserve">differently across jurisdictions due to the diversity of both the</w:t>
      </w:r>
      <w:r>
        <w:t xml:space="preserve"> </w:t>
      </w:r>
      <w:r>
        <w:t xml:space="preserve">technical capabilities of resources within power systems (see</w:t>
      </w:r>
      <w:r>
        <w:t xml:space="preserve"> </w:t>
      </w:r>
      <w:hyperlink w:anchor="sec:freq_dev_control">
        <w:r>
          <w:rPr>
            <w:rStyle w:val="Hyperlink"/>
          </w:rPr>
          <w:t xml:space="preserve">4</w:t>
        </w:r>
      </w:hyperlink>
      <w:r>
        <w:t xml:space="preserve"> </w:t>
      </w:r>
      <w:r>
        <w:t xml:space="preserve">and</w:t>
      </w:r>
      <w:r>
        <w:t xml:space="preserve"> </w:t>
      </w:r>
      <w:hyperlink w:anchor="sec:ibr_freq">
        <w:r>
          <w:rPr>
            <w:rStyle w:val="Hyperlink"/>
          </w:rPr>
          <w:t xml:space="preserve">5</w:t>
        </w:r>
      </w:hyperlink>
      <w:r>
        <w:t xml:space="preserve">) and</w:t>
      </w:r>
      <w:r>
        <w:t xml:space="preserve"> </w:t>
      </w:r>
      <w:r>
        <w:t xml:space="preserve">the different structures and features of various electricity markets</w:t>
      </w:r>
      <w:r>
        <w:t xml:space="preserve"> </w:t>
      </w:r>
      <w:r>
        <w:t xml:space="preserve">(see</w:t>
      </w:r>
      <w:r>
        <w:t xml:space="preserve"> </w:t>
      </w:r>
      <w:hyperlink w:anchor="sec:elec_markets">
        <w:r>
          <w:rPr>
            <w:rStyle w:val="Hyperlink"/>
          </w:rPr>
          <w:t xml:space="preserve">2</w:t>
        </w:r>
      </w:hyperlink>
      <w:r>
        <w:t xml:space="preserve">)</w:t>
      </w:r>
      <w:r>
        <w:t xml:space="preserve"> </w:t>
      </w:r>
      <w:r>
        <w:t xml:space="preserve">(</w:t>
      </w:r>
      <w:hyperlink w:anchor="ref-Rebours2007b">
        <w:r>
          <w:rPr>
            <w:rStyle w:val="Hyperlink"/>
            <w:bCs/>
            <w:b/>
          </w:rPr>
          <w:t xml:space="preserve">Rebours2007b?</w:t>
        </w:r>
      </w:hyperlink>
      <w:r>
        <w:t xml:space="preserve">)</w:t>
      </w:r>
      <w:r>
        <w:t xml:space="preserve">. Existing frequency</w:t>
      </w:r>
      <w:r>
        <w:t xml:space="preserve"> </w:t>
      </w:r>
      <w:r>
        <w:t xml:space="preserve">control arrangements across the world have been reviewed and compared</w:t>
      </w:r>
      <w:r>
        <w:t xml:space="preserve"> </w:t>
      </w:r>
      <w:r>
        <w:t xml:space="preserve">extensively in the literature</w:t>
      </w:r>
      <w:r>
        <w:t xml:space="preserve"> </w:t>
      </w:r>
      <w:r>
        <w:t xml:space="preserve">(</w:t>
      </w:r>
      <w:hyperlink w:anchor="ref-Rebours2009">
        <w:r>
          <w:rPr>
            <w:rStyle w:val="Hyperlink"/>
            <w:bCs/>
            <w:b/>
          </w:rPr>
          <w:t xml:space="preserve">Rebours2009?</w:t>
        </w:r>
      </w:hyperlink>
      <w:r>
        <w:t xml:space="preserve">;</w:t>
      </w:r>
      <w:r>
        <w:t xml:space="preserve"> </w:t>
      </w:r>
      <w:hyperlink w:anchor="ref-Ela2011">
        <w:r>
          <w:rPr>
            <w:rStyle w:val="Hyperlink"/>
            <w:bCs/>
            <w:b/>
          </w:rPr>
          <w:t xml:space="preserve">Ela2011?</w:t>
        </w:r>
      </w:hyperlink>
      <w:r>
        <w:t xml:space="preserve">;</w:t>
      </w:r>
      <w:r>
        <w:t xml:space="preserve"> </w:t>
      </w:r>
      <w:hyperlink w:anchor="ref-DGAConsulting2016">
        <w:r>
          <w:rPr>
            <w:rStyle w:val="Hyperlink"/>
            <w:bCs/>
            <w:b/>
          </w:rPr>
          <w:t xml:space="preserve">DGAConsulting2016?</w:t>
        </w:r>
      </w:hyperlink>
      <w:r>
        <w:t xml:space="preserve">;</w:t>
      </w:r>
      <w:r>
        <w:t xml:space="preserve"> </w:t>
      </w:r>
      <w:hyperlink w:anchor="ref-Hewicker2020">
        <w:r>
          <w:rPr>
            <w:rStyle w:val="Hyperlink"/>
            <w:bCs/>
            <w:b/>
          </w:rPr>
          <w:t xml:space="preserve">Hewicker2020?</w:t>
        </w:r>
      </w:hyperlink>
      <w:r>
        <w:t xml:space="preserve">;</w:t>
      </w:r>
      <w:r>
        <w:t xml:space="preserve"> </w:t>
      </w:r>
      <w:hyperlink w:anchor="ref-Rebours2007a">
        <w:r>
          <w:rPr>
            <w:rStyle w:val="Hyperlink"/>
            <w:bCs/>
            <w:b/>
          </w:rPr>
          <w:t xml:space="preserve">Rebours2007a?</w:t>
        </w:r>
      </w:hyperlink>
      <w:r>
        <w:t xml:space="preserve">;</w:t>
      </w:r>
      <w:r>
        <w:t xml:space="preserve"> </w:t>
      </w:r>
      <w:hyperlink w:anchor="ref-Rebours2007">
        <w:r>
          <w:rPr>
            <w:rStyle w:val="Hyperlink"/>
            <w:bCs/>
            <w:b/>
          </w:rPr>
          <w:t xml:space="preserve">Rebours2007?</w:t>
        </w:r>
      </w:hyperlink>
      <w:r>
        <w:t xml:space="preserve">;</w:t>
      </w:r>
      <w:r>
        <w:t xml:space="preserve"> </w:t>
      </w:r>
      <w:hyperlink w:anchor="ref-Zhou2016">
        <w:r>
          <w:rPr>
            <w:rStyle w:val="Hyperlink"/>
            <w:bCs/>
            <w:b/>
          </w:rPr>
          <w:t xml:space="preserve">Zhou2016?</w:t>
        </w:r>
      </w:hyperlink>
      <w:r>
        <w:t xml:space="preserve">;</w:t>
      </w:r>
      <w:r>
        <w:t xml:space="preserve"> </w:t>
      </w:r>
      <w:hyperlink w:anchor="ref-ReishusConsultingLLC2017">
        <w:r>
          <w:rPr>
            <w:rStyle w:val="Hyperlink"/>
            <w:bCs/>
            <w:b/>
          </w:rPr>
          <w:t xml:space="preserve">ReishusConsultingLLC2017?</w:t>
        </w:r>
      </w:hyperlink>
      <w:r>
        <w:t xml:space="preserve">;</w:t>
      </w:r>
      <w:r>
        <w:t xml:space="preserve"> </w:t>
      </w:r>
      <w:hyperlink w:anchor="ref-Banshwar2018">
        <w:r>
          <w:rPr>
            <w:rStyle w:val="Hyperlink"/>
            <w:bCs/>
            <w:b/>
          </w:rPr>
          <w:t xml:space="preserve">Banshwar2018?</w:t>
        </w:r>
      </w:hyperlink>
      <w:r>
        <w:t xml:space="preserve">)</w:t>
      </w:r>
      <w:r>
        <w:t xml:space="preserve">.</w:t>
      </w:r>
    </w:p>
    <w:bookmarkEnd w:id="105"/>
    <w:bookmarkStart w:id="115" w:name="design-principles-and-considerations"/>
    <w:p>
      <w:pPr>
        <w:pStyle w:val="Heading4"/>
      </w:pPr>
      <w:r>
        <w:rPr>
          <w:rStyle w:val="SectionNumber"/>
        </w:rPr>
        <w:t xml:space="preserve">4.6.5.4</w:t>
      </w:r>
      <w:r>
        <w:tab/>
      </w:r>
      <w:r>
        <w:t xml:space="preserve">Design principles and considerations</w:t>
      </w:r>
    </w:p>
    <w:p>
      <w:pPr>
        <w:pStyle w:val="FirstParagraph"/>
      </w:pPr>
      <w:r>
        <w:t xml:space="preserve">Previous literature has explored the key design considerations for</w:t>
      </w:r>
      <w:r>
        <w:t xml:space="preserve"> </w:t>
      </w:r>
      <w:r>
        <w:t xml:space="preserve">frequency control arrangements.</w:t>
      </w:r>
      <w:r>
        <w:t xml:space="preserve"> </w:t>
      </w:r>
      <w:r>
        <w:t xml:space="preserve">(</w:t>
      </w:r>
      <w:hyperlink w:anchor="ref-Rebours2007b">
        <w:r>
          <w:rPr>
            <w:rStyle w:val="Hyperlink"/>
            <w:bCs/>
            <w:b/>
          </w:rPr>
          <w:t xml:space="preserve">Rebours2007b?</w:t>
        </w:r>
      </w:hyperlink>
      <w:r>
        <w:t xml:space="preserve">)</w:t>
      </w:r>
      <w:r>
        <w:t xml:space="preserve"> </w:t>
      </w:r>
      <w:r>
        <w:t xml:space="preserve">outline design principles</w:t>
      </w:r>
      <w:r>
        <w:t xml:space="preserve"> </w:t>
      </w:r>
      <w:r>
        <w:t xml:space="preserve">for power pool markets related to the frequency control services</w:t>
      </w:r>
      <w:r>
        <w:t xml:space="preserve"> </w:t>
      </w:r>
      <w:r>
        <w:t xml:space="preserve">procurement, price formation, cost-allocation and market structure,</w:t>
      </w:r>
      <w:r>
        <w:t xml:space="preserve"> </w:t>
      </w:r>
      <w:r>
        <w:t xml:space="preserve">which includes how frequency control services are offered, remunerated</w:t>
      </w:r>
      <w:r>
        <w:t xml:space="preserve"> </w:t>
      </w:r>
      <w:r>
        <w:t xml:space="preserve">and cleared in markets, in addition to market operation and regulation.</w:t>
      </w:r>
      <w:r>
        <w:t xml:space="preserve"> </w:t>
      </w:r>
      <w:r>
        <w:t xml:space="preserve">(</w:t>
      </w:r>
      <w:hyperlink w:anchor="ref-VanderVeen2016">
        <w:r>
          <w:rPr>
            <w:rStyle w:val="Hyperlink"/>
            <w:bCs/>
            <w:b/>
          </w:rPr>
          <w:t xml:space="preserve">VanderVeen2016?</w:t>
        </w:r>
      </w:hyperlink>
      <w:r>
        <w:t xml:space="preserve">)</w:t>
      </w:r>
      <w:r>
        <w:t xml:space="preserve"> </w:t>
      </w:r>
      <w:r>
        <w:t xml:space="preserve">build upon the work of</w:t>
      </w:r>
      <w:r>
        <w:t xml:space="preserve"> </w:t>
      </w:r>
      <w:r>
        <w:t xml:space="preserve">(</w:t>
      </w:r>
      <w:hyperlink w:anchor="ref-Rebours2007b">
        <w:r>
          <w:rPr>
            <w:rStyle w:val="Hyperlink"/>
            <w:bCs/>
            <w:b/>
          </w:rPr>
          <w:t xml:space="preserve">Rebours2007b?</w:t>
        </w:r>
      </w:hyperlink>
      <w:r>
        <w:t xml:space="preserve">)</w:t>
      </w:r>
      <w:r>
        <w:t xml:space="preserve"> </w:t>
      </w:r>
      <w:r>
        <w:t xml:space="preserve">to provides a more</w:t>
      </w:r>
      <w:r>
        <w:t xml:space="preserve"> </w:t>
      </w:r>
      <w:r>
        <w:t xml:space="preserve">comprehensive treatment of frequency control arrangement design</w:t>
      </w:r>
      <w:r>
        <w:t xml:space="preserve"> </w:t>
      </w:r>
      <w:r>
        <w:t xml:space="preserve">variables and performance criteria. The key contribution of</w:t>
      </w:r>
      <w:r>
        <w:t xml:space="preserve"> </w:t>
      </w:r>
      <w:r>
        <w:t xml:space="preserve">(</w:t>
      </w:r>
      <w:hyperlink w:anchor="ref-VanderVeen2016">
        <w:r>
          <w:rPr>
            <w:rStyle w:val="Hyperlink"/>
            <w:bCs/>
            <w:b/>
          </w:rPr>
          <w:t xml:space="preserve">VanderVeen2016?</w:t>
        </w:r>
      </w:hyperlink>
      <w:r>
        <w:t xml:space="preserve">)</w:t>
      </w:r>
      <w:r>
        <w:t xml:space="preserve"> </w:t>
      </w:r>
      <w:r>
        <w:t xml:space="preserve">is that they explore some of the trade-offs between</w:t>
      </w:r>
      <w:r>
        <w:t xml:space="preserve"> </w:t>
      </w:r>
      <w:r>
        <w:t xml:space="preserve">performance criteria when designing frequency control services markets.</w:t>
      </w:r>
      <w:r>
        <w:t xml:space="preserve"> </w:t>
      </w:r>
      <w:r>
        <w:t xml:space="preserve">However, as they focus on the design challenge in European bilateral</w:t>
      </w:r>
      <w:r>
        <w:t xml:space="preserve"> </w:t>
      </w:r>
      <w:r>
        <w:t xml:space="preserve">markets, some of these trade-offs are not relevant to or present in</w:t>
      </w:r>
      <w:r>
        <w:t xml:space="preserve"> </w:t>
      </w:r>
      <w:r>
        <w:t xml:space="preserve">mandatory pool markets.</w:t>
      </w:r>
    </w:p>
    <w:p>
      <w:pPr>
        <w:pStyle w:val="BodyText"/>
      </w:pPr>
      <w:r>
        <w:t xml:space="preserve">Both</w:t>
      </w:r>
      <w:r>
        <w:t xml:space="preserve"> </w:t>
      </w:r>
      <w:r>
        <w:t xml:space="preserve">(</w:t>
      </w:r>
      <w:hyperlink w:anchor="ref-Rebours2007b">
        <w:r>
          <w:rPr>
            <w:rStyle w:val="Hyperlink"/>
            <w:bCs/>
            <w:b/>
          </w:rPr>
          <w:t xml:space="preserve">Rebours2007b?</w:t>
        </w:r>
      </w:hyperlink>
      <w:r>
        <w:t xml:space="preserve">)</w:t>
      </w:r>
      <w:r>
        <w:t xml:space="preserve"> </w:t>
      </w:r>
      <w:r>
        <w:t xml:space="preserve">and</w:t>
      </w:r>
      <w:r>
        <w:t xml:space="preserve"> </w:t>
      </w:r>
      <w:r>
        <w:t xml:space="preserve">(</w:t>
      </w:r>
      <w:hyperlink w:anchor="ref-VanderVeen2016">
        <w:r>
          <w:rPr>
            <w:rStyle w:val="Hyperlink"/>
            <w:bCs/>
            <w:b/>
          </w:rPr>
          <w:t xml:space="preserve">VanderVeen2016?</w:t>
        </w:r>
      </w:hyperlink>
      <w:r>
        <w:t xml:space="preserve">)</w:t>
      </w:r>
      <w:r>
        <w:t xml:space="preserve"> </w:t>
      </w:r>
      <w:r>
        <w:t xml:space="preserve">emphasise that good design will</w:t>
      </w:r>
      <w:r>
        <w:t xml:space="preserve"> </w:t>
      </w:r>
      <w:r>
        <w:t xml:space="preserve">lead to efficient and effective frequency control arrangements. However,</w:t>
      </w:r>
      <w:r>
        <w:t xml:space="preserve"> </w:t>
      </w:r>
      <w:r>
        <w:t xml:space="preserve">(</w:t>
      </w:r>
      <w:hyperlink w:anchor="ref-VanderVeen2016">
        <w:r>
          <w:rPr>
            <w:rStyle w:val="Hyperlink"/>
            <w:bCs/>
            <w:b/>
          </w:rPr>
          <w:t xml:space="preserve">VanderVeen2016?</w:t>
        </w:r>
      </w:hyperlink>
      <w:r>
        <w:t xml:space="preserve">)</w:t>
      </w:r>
      <w:r>
        <w:t xml:space="preserve"> </w:t>
      </w:r>
      <w:r>
        <w:t xml:space="preserve">focuses solely on market design whilst</w:t>
      </w:r>
      <w:r>
        <w:t xml:space="preserve"> </w:t>
      </w:r>
      <w:r>
        <w:t xml:space="preserve">(</w:t>
      </w:r>
      <w:hyperlink w:anchor="ref-Rebours2007b">
        <w:r>
          <w:rPr>
            <w:rStyle w:val="Hyperlink"/>
            <w:bCs/>
            <w:b/>
          </w:rPr>
          <w:t xml:space="preserve">Rebours2007b?</w:t>
        </w:r>
      </w:hyperlink>
      <w:r>
        <w:t xml:space="preserve">)</w:t>
      </w:r>
      <w:r>
        <w:t xml:space="preserve"> </w:t>
      </w:r>
      <w:r>
        <w:t xml:space="preserve">assesses various competitive procurement options but only briefly</w:t>
      </w:r>
      <w:r>
        <w:t xml:space="preserve"> </w:t>
      </w:r>
      <w:r>
        <w:t xml:space="preserve">discusses the relative merits of compulsory provision of frequency</w:t>
      </w:r>
      <w:r>
        <w:t xml:space="preserve"> </w:t>
      </w:r>
      <w:r>
        <w:t xml:space="preserve">control services through regulatory mechanisms. The work from these</w:t>
      </w:r>
      <w:r>
        <w:t xml:space="preserve"> </w:t>
      </w:r>
      <w:r>
        <w:t xml:space="preserve">authors concentrates on achieving economic efficiency but pays</w:t>
      </w:r>
      <w:r>
        <w:t xml:space="preserve"> </w:t>
      </w:r>
      <w:r>
        <w:t xml:space="preserve">relatively little attention to the technical capabilities of power</w:t>
      </w:r>
      <w:r>
        <w:t xml:space="preserve"> </w:t>
      </w:r>
      <w:r>
        <w:t xml:space="preserve">system resources and the design of and interactions between frequency</w:t>
      </w:r>
      <w:r>
        <w:t xml:space="preserve"> </w:t>
      </w:r>
      <w:r>
        <w:t xml:space="preserve">control products.</w:t>
      </w:r>
    </w:p>
    <w:bookmarkStart w:id="106" w:name="holistic-design"/>
    <w:p>
      <w:pPr>
        <w:pStyle w:val="Heading5"/>
      </w:pPr>
      <w:r>
        <w:rPr>
          <w:rStyle w:val="SectionNumber"/>
        </w:rPr>
        <w:t xml:space="preserve">4.6.5.4.1</w:t>
      </w:r>
      <w:r>
        <w:tab/>
      </w:r>
      <w:r>
        <w:t xml:space="preserve">Holistic design</w:t>
      </w:r>
    </w:p>
    <w:p>
      <w:pPr>
        <w:pStyle w:val="FirstParagraph"/>
      </w:pPr>
      <w:r>
        <w:t xml:space="preserve">(</w:t>
      </w:r>
      <w:hyperlink w:anchor="ref-Ela2012b">
        <w:r>
          <w:rPr>
            <w:rStyle w:val="Hyperlink"/>
            <w:bCs/>
            <w:b/>
          </w:rPr>
          <w:t xml:space="preserve">Ela2012b?</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MacGill2020a">
        <w:r>
          <w:rPr>
            <w:rStyle w:val="Hyperlink"/>
            <w:bCs/>
            <w:b/>
          </w:rPr>
          <w:t xml:space="preserve">MacGill2020a?</w:t>
        </w:r>
      </w:hyperlink>
      <w:r>
        <w:t xml:space="preserve">)</w:t>
      </w:r>
      <w:r>
        <w:t xml:space="preserve"> </w:t>
      </w:r>
      <w:r>
        <w:t xml:space="preserve">recognise that power system</w:t>
      </w:r>
      <w:r>
        <w:t xml:space="preserve"> </w:t>
      </w:r>
      <w:r>
        <w:t xml:space="preserve">frequency control arrangements are typically composed of a mixture of</w:t>
      </w:r>
      <w:r>
        <w:t xml:space="preserve"> </w:t>
      </w:r>
      <w:r>
        <w:t xml:space="preserve">market-based mechanisms and regulatory mechanisms that are compatible</w:t>
      </w:r>
      <w:r>
        <w:t xml:space="preserve"> </w:t>
      </w:r>
      <w:r>
        <w:t xml:space="preserve">with the physics and control needs of the power system. The challenge</w:t>
      </w:r>
      <w:r>
        <w:t xml:space="preserve"> </w:t>
      </w:r>
      <w:r>
        <w:t xml:space="preserve">here is determining the appropriate combination of these options for</w:t>
      </w:r>
      <w:r>
        <w:t xml:space="preserve"> </w:t>
      </w:r>
      <w:r>
        <w:t xml:space="preserve">procurement, and the most suitable control mechanisms that account for</w:t>
      </w:r>
      <w:r>
        <w:t xml:space="preserve"> </w:t>
      </w:r>
      <w:r>
        <w:t xml:space="preserve">both frequency control capabilities and the physical performance</w:t>
      </w:r>
      <w:r>
        <w:t xml:space="preserve"> </w:t>
      </w:r>
      <w:r>
        <w:t xml:space="preserve">required by a power system. This can only be achieved by considering the</w:t>
      </w:r>
      <w:r>
        <w:t xml:space="preserve"> </w:t>
      </w:r>
      <w:r>
        <w:t xml:space="preserve">interactions, or</w:t>
      </w:r>
      <w:r>
        <w:t xml:space="preserve"> </w:t>
      </w:r>
      <w:r>
        <w:rPr>
          <w:iCs/>
          <w:i/>
        </w:rPr>
        <w:t xml:space="preserve">interfaces</w:t>
      </w:r>
      <w:r>
        <w:t xml:space="preserve">, between mechanisms within a power</w:t>
      </w:r>
      <w:r>
        <w:t xml:space="preserve"> </w:t>
      </w:r>
      <w:r>
        <w:t xml:space="preserve">system’s frequency control strategy.</w:t>
      </w:r>
    </w:p>
    <w:bookmarkEnd w:id="106"/>
    <w:bookmarkStart w:id="114" w:name="interfaces"/>
    <w:p>
      <w:pPr>
        <w:pStyle w:val="Heading5"/>
      </w:pPr>
      <w:r>
        <w:rPr>
          <w:rStyle w:val="SectionNumber"/>
        </w:rPr>
        <w:t xml:space="preserve">4.6.5.4.2</w:t>
      </w:r>
      <w:r>
        <w:tab/>
      </w:r>
      <w:r>
        <w:t xml:space="preserve">Interfaces</w:t>
      </w:r>
    </w:p>
    <w:p>
      <w:pPr>
        <w:pStyle w:val="FirstParagraph"/>
      </w:pPr>
      <w:r>
        <w:t xml:space="preserve">The concept of interfaces in electricity industry decision-making is</w:t>
      </w:r>
      <w:r>
        <w:t xml:space="preserve"> </w:t>
      </w:r>
      <w:r>
        <w:t xml:space="preserve">distinct but coupled to the frequency control arrangement design layers</w:t>
      </w:r>
      <w:r>
        <w:t xml:space="preserve"> </w:t>
      </w:r>
      <w:r>
        <w:t xml:space="preserve">discussed above. Interfaces were first formalised by</w:t>
      </w:r>
      <w:r>
        <w:t xml:space="preserve"> </w:t>
      </w:r>
      <w:r>
        <w:t xml:space="preserve">(</w:t>
      </w:r>
      <w:hyperlink w:anchor="ref-Thorncraft2007">
        <w:r>
          <w:rPr>
            <w:rStyle w:val="Hyperlink"/>
            <w:bCs/>
            <w:b/>
          </w:rPr>
          <w:t xml:space="preserve">Thorncraft2007?</w:t>
        </w:r>
      </w:hyperlink>
      <w:r>
        <w:t xml:space="preserve">)</w:t>
      </w:r>
      <w:r>
        <w:t xml:space="preserve">,</w:t>
      </w:r>
      <w:r>
        <w:t xml:space="preserve"> </w:t>
      </w:r>
      <w:r>
        <w:t xml:space="preserve">specifically with relation to the security decision-making interface</w:t>
      </w:r>
      <w:r>
        <w:t xml:space="preserve"> </w:t>
      </w:r>
      <w:r>
        <w:t xml:space="preserve">between commercial decision-making processes (i.e. processes within</w:t>
      </w:r>
      <w:r>
        <w:t xml:space="preserve"> </w:t>
      </w:r>
      <w:r>
        <w:t xml:space="preserve">market-based mechanisms) and the technical and physical processes and</w:t>
      </w:r>
      <w:r>
        <w:t xml:space="preserve"> </w:t>
      </w:r>
      <w:r>
        <w:t xml:space="preserve">the requirements of the power system (i.e. frequency control capability</w:t>
      </w:r>
      <w:r>
        <w:t xml:space="preserve"> </w:t>
      </w:r>
      <w:r>
        <w:t xml:space="preserve">and physical performance)</w:t>
      </w:r>
      <w:r>
        <w:t xml:space="preserve"> </w:t>
      </w:r>
      <w:r>
        <w:t xml:space="preserve">(</w:t>
      </w:r>
      <w:hyperlink w:anchor="ref-Thorncraft2009">
        <w:r>
          <w:rPr>
            <w:rStyle w:val="Hyperlink"/>
            <w:bCs/>
            <w:b/>
          </w:rPr>
          <w:t xml:space="preserve">Thorncraft2009?</w:t>
        </w:r>
      </w:hyperlink>
      <w:r>
        <w:t xml:space="preserve">)</w:t>
      </w:r>
      <w:r>
        <w:t xml:space="preserve">.</w:t>
      </w:r>
    </w:p>
    <w:bookmarkStart w:id="107" w:name="security-decision-making-interface."/>
    <w:p>
      <w:pPr>
        <w:pStyle w:val="Heading6"/>
      </w:pPr>
      <w:r>
        <w:rPr>
          <w:rStyle w:val="SectionNumber"/>
        </w:rPr>
        <w:t xml:space="preserve">4.6.5.4.2.1</w:t>
      </w:r>
      <w:r>
        <w:tab/>
      </w:r>
      <w:r>
        <w:t xml:space="preserve">Security decision-making interface.</w:t>
      </w:r>
    </w:p>
    <w:p>
      <w:pPr>
        <w:pStyle w:val="FirstParagraph"/>
      </w:pPr>
      <w:r>
        <w:t xml:space="preserve">The security decision-making interface includes system operator</w:t>
      </w:r>
      <w:r>
        <w:t xml:space="preserve"> </w:t>
      </w:r>
      <w:r>
        <w:t xml:space="preserve">processes in integrated markets (e.g. SCUC and SCED) which co-optimise</w:t>
      </w:r>
      <w:r>
        <w:t xml:space="preserve"> </w:t>
      </w:r>
      <w:r>
        <w:t xml:space="preserve">the provision of energy and frequency control services</w:t>
      </w:r>
      <w:r>
        <w:t xml:space="preserve"> </w:t>
      </w:r>
      <w:r>
        <w:t xml:space="preserve">(</w:t>
      </w:r>
      <w:hyperlink w:anchor="ref-Chow2005">
        <w:r>
          <w:rPr>
            <w:rStyle w:val="Hyperlink"/>
            <w:bCs/>
            <w:b/>
          </w:rPr>
          <w:t xml:space="preserve">Chow2005?</w:t>
        </w:r>
      </w:hyperlink>
      <w:r>
        <w:t xml:space="preserve">)</w:t>
      </w:r>
      <w:r>
        <w:t xml:space="preserve">.</w:t>
      </w:r>
      <w:r>
        <w:t xml:space="preserve"> </w:t>
      </w:r>
      <w:r>
        <w:t xml:space="preserve">Literature has explored enhancing unit commitment and economic dispatch</w:t>
      </w:r>
      <w:r>
        <w:t xml:space="preserve"> </w:t>
      </w:r>
      <w:r>
        <w:t xml:space="preserve">processes for frequency control through frequency response constraints</w:t>
      </w:r>
      <w:r>
        <w:t xml:space="preserve"> </w:t>
      </w:r>
      <w:r>
        <w:t xml:space="preserve">(</w:t>
      </w:r>
      <w:hyperlink w:anchor="ref-Ela2014">
        <w:r>
          <w:rPr>
            <w:rStyle w:val="Hyperlink"/>
            <w:bCs/>
            <w:b/>
          </w:rPr>
          <w:t xml:space="preserve">Ela2014?</w:t>
        </w:r>
      </w:hyperlink>
      <w:r>
        <w:t xml:space="preserve">;</w:t>
      </w:r>
      <w:r>
        <w:t xml:space="preserve"> </w:t>
      </w:r>
      <w:hyperlink w:anchor="ref-Doherty2005">
        <w:r>
          <w:rPr>
            <w:rStyle w:val="Hyperlink"/>
            <w:bCs/>
            <w:b/>
          </w:rPr>
          <w:t xml:space="preserve">Doherty2005?</w:t>
        </w:r>
      </w:hyperlink>
      <w:r>
        <w:t xml:space="preserve">;</w:t>
      </w:r>
      <w:r>
        <w:t xml:space="preserve"> </w:t>
      </w:r>
      <w:hyperlink w:anchor="ref-Teng2015">
        <w:r>
          <w:rPr>
            <w:rStyle w:val="Hyperlink"/>
            <w:bCs/>
            <w:b/>
          </w:rPr>
          <w:t xml:space="preserve">Teng2015?</w:t>
        </w:r>
      </w:hyperlink>
      <w:r>
        <w:t xml:space="preserve">;</w:t>
      </w:r>
      <w:r>
        <w:t xml:space="preserve"> </w:t>
      </w:r>
      <w:hyperlink w:anchor="ref-Mancarella2017a">
        <w:r>
          <w:rPr>
            <w:rStyle w:val="Hyperlink"/>
            <w:bCs/>
            <w:b/>
          </w:rPr>
          <w:t xml:space="preserve">Mancarella2017a?</w:t>
        </w:r>
      </w:hyperlink>
      <w:r>
        <w:t xml:space="preserve">)</w:t>
      </w:r>
      <w:r>
        <w:t xml:space="preserve"> </w:t>
      </w:r>
      <w:r>
        <w:t xml:space="preserve">and, more</w:t>
      </w:r>
      <w:r>
        <w:t xml:space="preserve"> </w:t>
      </w:r>
      <w:r>
        <w:t xml:space="preserve">recently, inertia constraints</w:t>
      </w:r>
      <w:r>
        <w:t xml:space="preserve"> </w:t>
      </w:r>
      <w:r>
        <w:t xml:space="preserve">(</w:t>
      </w:r>
      <w:hyperlink w:anchor="ref-Gu2020">
        <w:r>
          <w:rPr>
            <w:rStyle w:val="Hyperlink"/>
            <w:bCs/>
            <w:b/>
          </w:rPr>
          <w:t xml:space="preserve">Gu2020?</w:t>
        </w:r>
      </w:hyperlink>
      <w:r>
        <w:t xml:space="preserve">;</w:t>
      </w:r>
      <w:r>
        <w:t xml:space="preserve"> </w:t>
      </w:r>
      <w:hyperlink w:anchor="ref-Johnson2020">
        <w:r>
          <w:rPr>
            <w:rStyle w:val="Hyperlink"/>
            <w:bCs/>
            <w:b/>
          </w:rPr>
          <w:t xml:space="preserve">Johnson2020?</w:t>
        </w:r>
      </w:hyperlink>
      <w:r>
        <w:t xml:space="preserve">)</w:t>
      </w:r>
      <w:r>
        <w:t xml:space="preserve">. However, these</w:t>
      </w:r>
      <w:r>
        <w:t xml:space="preserve"> </w:t>
      </w:r>
      <w:r>
        <w:t xml:space="preserve">studies implicitly assume that existing security decision-making</w:t>
      </w:r>
      <w:r>
        <w:t xml:space="preserve"> </w:t>
      </w:r>
      <w:r>
        <w:t xml:space="preserve">processes and frequency control products are adequate and efficient, and</w:t>
      </w:r>
      <w:r>
        <w:t xml:space="preserve"> </w:t>
      </w:r>
      <w:r>
        <w:t xml:space="preserve">will therefore perform well.</w:t>
      </w:r>
    </w:p>
    <w:bookmarkEnd w:id="107"/>
    <w:bookmarkStart w:id="111" w:name="X6c08c7c79a4fed6f4599846c17bb2cae3e0eb78"/>
    <w:p>
      <w:pPr>
        <w:pStyle w:val="Heading6"/>
      </w:pPr>
      <w:r>
        <w:rPr>
          <w:rStyle w:val="SectionNumber"/>
        </w:rPr>
        <w:t xml:space="preserve">4.6.5.4.2.2</w:t>
      </w:r>
      <w:r>
        <w:tab/>
      </w:r>
      <w:r>
        <w:t xml:space="preserve">Interfaces between mechanisms in the frequency control strategy</w:t>
      </w:r>
    </w:p>
    <w:p>
      <w:pPr>
        <w:pStyle w:val="FirstParagraph"/>
      </w:pPr>
      <w:r>
        <w:t xml:space="preserve">Interfaces change over time and with technological innovation</w:t>
      </w:r>
      <w:r>
        <w:t xml:space="preserve"> </w:t>
      </w:r>
      <w:r>
        <w:t xml:space="preserve">(</w:t>
      </w:r>
      <w:hyperlink w:anchor="ref-Thorncraft2009">
        <w:r>
          <w:rPr>
            <w:rStyle w:val="Hyperlink"/>
            <w:bCs/>
            <w:b/>
          </w:rPr>
          <w:t xml:space="preserve">Thorncraft2009?</w:t>
        </w:r>
      </w:hyperlink>
      <w:r>
        <w:t xml:space="preserve">)</w:t>
      </w:r>
      <w:r>
        <w:t xml:space="preserve">. The arrival of highly-controllable loads and IBR in</w:t>
      </w:r>
      <w:r>
        <w:t xml:space="preserve"> </w:t>
      </w:r>
      <w:r>
        <w:t xml:space="preserve">the power system warrants the consideration of a</w:t>
      </w:r>
      <w:r>
        <w:t xml:space="preserve"> </w:t>
      </w:r>
      <w:r>
        <w:rPr>
          <w:iCs/>
          <w:i/>
        </w:rPr>
        <w:t xml:space="preserve">control system</w:t>
      </w:r>
      <w:r>
        <w:t xml:space="preserve"> </w:t>
      </w:r>
      <w:r>
        <w:t xml:space="preserve">process that is separate from physical characteristics and processes</w:t>
      </w:r>
      <w:r>
        <w:t xml:space="preserve"> </w:t>
      </w:r>
      <w:r>
        <w:t xml:space="preserve">(</w:t>
      </w:r>
      <w:hyperlink w:anchor="fig:interfaces">
        <w:r>
          <w:rPr>
            <w:rStyle w:val="Hyperlink"/>
          </w:rPr>
          <w:t xml:space="preserve">8</w:t>
        </w:r>
      </w:hyperlink>
      <w:r>
        <w:t xml:space="preserve">).</w:t>
      </w:r>
    </w:p>
    <w:p>
      <w:pPr>
        <w:pStyle w:val="CaptionedFigure"/>
      </w:pPr>
      <w:r>
        <w:drawing>
          <wp:inline>
            <wp:extent cx="3685123" cy="3571970"/>
            <wp:effectExtent b="0" l="0" r="0" t="0"/>
            <wp:docPr descr="Interfaces between the frequency control capability and the mechanisms within the frequency control strategy of a power system." title="" id="109" name="Picture"/>
            <a:graphic>
              <a:graphicData uri="http://schemas.openxmlformats.org/drawingml/2006/picture">
                <pic:pic>
                  <pic:nvPicPr>
                    <pic:cNvPr descr="source/figures/interfaces_03.png" id="110" name="Picture"/>
                    <pic:cNvPicPr>
                      <a:picLocks noChangeArrowheads="1" noChangeAspect="1"/>
                    </pic:cNvPicPr>
                  </pic:nvPicPr>
                  <pic:blipFill>
                    <a:blip r:embed="rId108"/>
                    <a:stretch>
                      <a:fillRect/>
                    </a:stretch>
                  </pic:blipFill>
                  <pic:spPr bwMode="auto">
                    <a:xfrm>
                      <a:off x="0" y="0"/>
                      <a:ext cx="3685123" cy="3571970"/>
                    </a:xfrm>
                    <a:prstGeom prst="rect">
                      <a:avLst/>
                    </a:prstGeom>
                    <a:noFill/>
                    <a:ln w="9525">
                      <a:noFill/>
                      <a:headEnd/>
                      <a:tailEnd/>
                    </a:ln>
                  </pic:spPr>
                </pic:pic>
              </a:graphicData>
            </a:graphic>
          </wp:inline>
        </w:drawing>
      </w:r>
    </w:p>
    <w:p>
      <w:pPr>
        <w:pStyle w:val="ImageCaption"/>
      </w:pPr>
      <w:r>
        <w:t xml:space="preserve">Figure 7: Interfaces between the frequency control capability and the mechanisms</w:t>
      </w:r>
      <w:r>
        <w:t xml:space="preserve"> </w:t>
      </w:r>
      <w:r>
        <w:t xml:space="preserve">within the frequency control strategy of a power</w:t>
      </w:r>
      <w:r>
        <w:t xml:space="preserve"> </w:t>
      </w:r>
      <w:r>
        <w:t xml:space="preserve">system.</w:t>
      </w:r>
    </w:p>
    <w:bookmarkEnd w:id="111"/>
    <w:bookmarkStart w:id="112" w:name="Xb80b79901a2308c6054355cba036e5a5eb990e6"/>
    <w:p>
      <w:pPr>
        <w:pStyle w:val="Heading6"/>
      </w:pPr>
      <w:r>
        <w:rPr>
          <w:rStyle w:val="SectionNumber"/>
        </w:rPr>
        <w:t xml:space="preserve">4.6.5.4.2.3</w:t>
      </w:r>
      <w:r>
        <w:tab/>
      </w:r>
      <w:r>
        <w:t xml:space="preserve">Interface between control and procurement mechanisms.</w:t>
      </w:r>
    </w:p>
    <w:p>
      <w:pPr>
        <w:pStyle w:val="FirstParagraph"/>
      </w:pPr>
      <w:r>
        <w:t xml:space="preserve">Some literature has begun to explore the interface between control</w:t>
      </w:r>
      <w:r>
        <w:t xml:space="preserve"> </w:t>
      </w:r>
      <w:r>
        <w:t xml:space="preserve">mechanisms and market-based mechanisms.</w:t>
      </w:r>
      <w:r>
        <w:t xml:space="preserve"> </w:t>
      </w:r>
      <w:r>
        <w:t xml:space="preserve">(</w:t>
      </w:r>
      <w:hyperlink w:anchor="ref-Garcia2019a">
        <w:r>
          <w:rPr>
            <w:rStyle w:val="Hyperlink"/>
            <w:bCs/>
            <w:b/>
          </w:rPr>
          <w:t xml:space="preserve">Garcia2019a?</w:t>
        </w:r>
      </w:hyperlink>
      <w:r>
        <w:t xml:space="preserve">)</w:t>
      </w:r>
      <w:r>
        <w:t xml:space="preserve"> </w:t>
      </w:r>
      <w:r>
        <w:t xml:space="preserve">explore the impact</w:t>
      </w:r>
      <w:r>
        <w:t xml:space="preserve"> </w:t>
      </w:r>
      <w:r>
        <w:t xml:space="preserve">of interchangeability between FFR and PFC on total system frequency</w:t>
      </w:r>
      <w:r>
        <w:t xml:space="preserve"> </w:t>
      </w:r>
      <w:r>
        <w:t xml:space="preserve">control services costs.</w:t>
      </w:r>
      <w:r>
        <w:t xml:space="preserve"> </w:t>
      </w:r>
      <w:r>
        <w:t xml:space="preserve">(</w:t>
      </w:r>
      <w:hyperlink w:anchor="ref-Badesa2020">
        <w:r>
          <w:rPr>
            <w:rStyle w:val="Hyperlink"/>
            <w:bCs/>
            <w:b/>
          </w:rPr>
          <w:t xml:space="preserve">Badesa2020?</w:t>
        </w:r>
      </w:hyperlink>
      <w:r>
        <w:t xml:space="preserve">)</w:t>
      </w:r>
      <w:r>
        <w:t xml:space="preserve"> </w:t>
      </w:r>
      <w:r>
        <w:t xml:space="preserve">outlined an optimisation framework</w:t>
      </w:r>
      <w:r>
        <w:t xml:space="preserve"> </w:t>
      </w:r>
      <w:r>
        <w:t xml:space="preserve">that enables inertia, a reduction in contingency size and multi-speed</w:t>
      </w:r>
      <w:r>
        <w:t xml:space="preserve"> </w:t>
      </w:r>
      <w:r>
        <w:t xml:space="preserve">PFC to be procured based on RoCoF and frequency nadir constraints and,</w:t>
      </w:r>
      <w:r>
        <w:t xml:space="preserve"> </w:t>
      </w:r>
      <w:r>
        <w:t xml:space="preserve">more significantly, priced with a view of incentivising faster PFC and</w:t>
      </w:r>
      <w:r>
        <w:t xml:space="preserve"> </w:t>
      </w:r>
      <w:r>
        <w:t xml:space="preserve">synthetic/virtual inertia provision from IBR. However, these studies do</w:t>
      </w:r>
      <w:r>
        <w:t xml:space="preserve"> </w:t>
      </w:r>
      <w:r>
        <w:t xml:space="preserve">not consider how control mechanisms might interface with other</w:t>
      </w:r>
      <w:r>
        <w:t xml:space="preserve"> </w:t>
      </w:r>
      <w:r>
        <w:t xml:space="preserve">regulatory mechanisms, such as equipment performance standards.</w:t>
      </w:r>
    </w:p>
    <w:bookmarkEnd w:id="112"/>
    <w:bookmarkStart w:id="113" w:name="Xe79f36a8dfeef8249619989a06d6452b800304f"/>
    <w:p>
      <w:pPr>
        <w:pStyle w:val="Heading6"/>
      </w:pPr>
      <w:r>
        <w:rPr>
          <w:rStyle w:val="SectionNumber"/>
        </w:rPr>
        <w:t xml:space="preserve">4.6.5.4.2.4</w:t>
      </w:r>
      <w:r>
        <w:tab/>
      </w:r>
      <w:r>
        <w:t xml:space="preserve">Interface between procurement mechanisms.</w:t>
      </w:r>
    </w:p>
    <w:p>
      <w:pPr>
        <w:pStyle w:val="FirstParagraph"/>
      </w:pPr>
      <w:r>
        <w:t xml:space="preserve">In framing the design challenge for power system security services in</w:t>
      </w:r>
      <w:r>
        <w:t xml:space="preserve"> </w:t>
      </w:r>
      <w:r>
        <w:t xml:space="preserve">the NEM,</w:t>
      </w:r>
      <w:r>
        <w:t xml:space="preserve"> </w:t>
      </w:r>
      <w:r>
        <w:t xml:space="preserve">(</w:t>
      </w:r>
      <w:hyperlink w:anchor="ref-MacGill2020">
        <w:r>
          <w:rPr>
            <w:rStyle w:val="Hyperlink"/>
            <w:bCs/>
            <w:b/>
          </w:rPr>
          <w:t xml:space="preserve">MacGill2020?</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Skinner2020">
        <w:r>
          <w:rPr>
            <w:rStyle w:val="Hyperlink"/>
            <w:bCs/>
            <w:b/>
          </w:rPr>
          <w:t xml:space="preserve">Skinner2020?</w:t>
        </w:r>
      </w:hyperlink>
      <w:r>
        <w:t xml:space="preserve">)</w:t>
      </w:r>
      <w:r>
        <w:t xml:space="preserve"> </w:t>
      </w:r>
      <w:r>
        <w:t xml:space="preserve">acknowledge that</w:t>
      </w:r>
      <w:r>
        <w:t xml:space="preserve"> </w:t>
      </w:r>
      <w:r>
        <w:t xml:space="preserve">there is a choice between, or potential combination of regulatory</w:t>
      </w:r>
      <w:r>
        <w:t xml:space="preserve"> </w:t>
      </w:r>
      <w:r>
        <w:t xml:space="preserve">mechanisms and market-based mechanisms for procurement, with the latter</w:t>
      </w:r>
      <w:r>
        <w:t xml:space="preserve"> </w:t>
      </w:r>
      <w:r>
        <w:t xml:space="preserve">two exploring the various advantages and disadvantages of each option.</w:t>
      </w:r>
      <w:r>
        <w:t xml:space="preserve"> </w:t>
      </w:r>
      <w:r>
        <w:t xml:space="preserve">In particular,</w:t>
      </w:r>
      <w:r>
        <w:t xml:space="preserve"> </w:t>
      </w:r>
      <w:r>
        <w:t xml:space="preserve">(</w:t>
      </w:r>
      <w:hyperlink w:anchor="ref-Billimoria2020">
        <w:r>
          <w:rPr>
            <w:rStyle w:val="Hyperlink"/>
            <w:bCs/>
            <w:b/>
          </w:rPr>
          <w:t xml:space="preserve">Billimoria2020?</w:t>
        </w:r>
      </w:hyperlink>
      <w:r>
        <w:t xml:space="preserve">)</w:t>
      </w:r>
      <w:r>
        <w:t xml:space="preserve"> </w:t>
      </w:r>
      <w:r>
        <w:t xml:space="preserve">explores various procurement models and</w:t>
      </w:r>
      <w:r>
        <w:t xml:space="preserve"> </w:t>
      </w:r>
      <w:r>
        <w:t xml:space="preserve">how regulatory and market-based mechanisms may interact within them.</w:t>
      </w:r>
      <w:r>
        <w:t xml:space="preserve"> </w:t>
      </w:r>
      <w:r>
        <w:t xml:space="preserve">However, these procurement models are highly generic and further work is</w:t>
      </w:r>
      <w:r>
        <w:t xml:space="preserve"> </w:t>
      </w:r>
      <w:r>
        <w:t xml:space="preserve">required to determine how existing and emerging control mechanisms might</w:t>
      </w:r>
      <w:r>
        <w:t xml:space="preserve"> </w:t>
      </w:r>
      <w:r>
        <w:t xml:space="preserve">be structured in each of the models. Furthermore, there is a need to</w:t>
      </w:r>
      <w:r>
        <w:t xml:space="preserve"> </w:t>
      </w:r>
      <w:r>
        <w:t xml:space="preserve">understand how these procurement models might interface with and</w:t>
      </w:r>
      <w:r>
        <w:t xml:space="preserve"> </w:t>
      </w:r>
      <w:r>
        <w:t xml:space="preserve">integrate into existing and emerging market processes if an optimum for</w:t>
      </w:r>
      <w:r>
        <w:t xml:space="preserve"> </w:t>
      </w:r>
      <w:r>
        <w:t xml:space="preserve">the entire system is to be achieved</w:t>
      </w:r>
      <w:r>
        <w:t xml:space="preserve"> </w:t>
      </w:r>
      <w:r>
        <w:t xml:space="preserve">(</w:t>
      </w:r>
      <w:hyperlink w:anchor="ref-MacGill2020">
        <w:r>
          <w:rPr>
            <w:rStyle w:val="Hyperlink"/>
            <w:bCs/>
            <w:b/>
          </w:rPr>
          <w:t xml:space="preserve">MacGill2020?</w:t>
        </w:r>
      </w:hyperlink>
      <w:r>
        <w:t xml:space="preserve">)</w:t>
      </w:r>
      <w:r>
        <w:t xml:space="preserve">.</w:t>
      </w:r>
    </w:p>
    <w:bookmarkEnd w:id="113"/>
    <w:bookmarkEnd w:id="114"/>
    <w:bookmarkEnd w:id="115"/>
    <w:bookmarkEnd w:id="116"/>
    <w:bookmarkEnd w:id="117"/>
    <w:bookmarkStart w:id="118" w:name="Xc40eb65a9cff186629276bb22ad433b565a69b9"/>
    <w:p>
      <w:pPr>
        <w:pStyle w:val="Heading2"/>
      </w:pPr>
      <w:r>
        <w:rPr>
          <w:rStyle w:val="SectionNumber"/>
        </w:rPr>
        <w:t xml:space="preserve">4.7</w:t>
      </w:r>
      <w:r>
        <w:tab/>
      </w:r>
      <w:r>
        <w:t xml:space="preserve">Emerging challenges in power system operations</w:t>
      </w:r>
    </w:p>
    <w:bookmarkEnd w:id="118"/>
    <w:bookmarkStart w:id="119" w:name="conclusion"/>
    <w:p>
      <w:pPr>
        <w:pStyle w:val="Heading2"/>
      </w:pPr>
      <w:r>
        <w:rPr>
          <w:rStyle w:val="SectionNumber"/>
        </w:rPr>
        <w:t xml:space="preserve">4.8</w:t>
      </w:r>
      <w:r>
        <w:tab/>
      </w:r>
      <w:r>
        <w:t xml:space="preserve">Conclusion</w:t>
      </w:r>
    </w:p>
    <w:p>
      <w:pPr>
        <w:pStyle w:val="FirstParagraph"/>
      </w:pPr>
      <w:r>
        <w:t xml:space="preserve">Frequency control is vital to the secure operation of a power system.</w:t>
      </w:r>
      <w:r>
        <w:t xml:space="preserve"> </w:t>
      </w:r>
      <w:r>
        <w:t xml:space="preserve">The inherent characteristics and control systems of IBR differ from</w:t>
      </w:r>
      <w:r>
        <w:t xml:space="preserve"> </w:t>
      </w:r>
      <w:r>
        <w:t xml:space="preserve">those of synchronous machines and this poses both opportunities and</w:t>
      </w:r>
      <w:r>
        <w:t xml:space="preserve"> </w:t>
      </w:r>
      <w:r>
        <w:t xml:space="preserve">challenges to frequency control arrangements in mandatory pool markets</w:t>
      </w:r>
      <w:r>
        <w:t xml:space="preserve"> </w:t>
      </w:r>
      <w:r>
        <w:t xml:space="preserve">with growing instantaneous penetrations of IBR. The frequency control</w:t>
      </w:r>
      <w:r>
        <w:t xml:space="preserve"> </w:t>
      </w:r>
      <w:r>
        <w:t xml:space="preserve">performance of a power system is highly influenced by the frequency</w:t>
      </w:r>
      <w:r>
        <w:t xml:space="preserve"> </w:t>
      </w:r>
      <w:r>
        <w:t xml:space="preserve">control strategy, which consists of the control mechanisms, electricity</w:t>
      </w:r>
      <w:r>
        <w:t xml:space="preserve"> </w:t>
      </w:r>
      <w:r>
        <w:t xml:space="preserve">market design and the regulatory mechanisms that are in place, and the</w:t>
      </w:r>
      <w:r>
        <w:t xml:space="preserve"> </w:t>
      </w:r>
      <w:r>
        <w:t xml:space="preserve">frequency control capability of its resources. Determining the</w:t>
      </w:r>
      <w:r>
        <w:t xml:space="preserve"> </w:t>
      </w:r>
      <w:r>
        <w:t xml:space="preserve">appropriate combination of these mechanisms will require examining the</w:t>
      </w:r>
      <w:r>
        <w:t xml:space="preserve"> </w:t>
      </w:r>
      <w:r>
        <w:t xml:space="preserve">interfaces between market-based, regulatory and control mechanisms and</w:t>
      </w:r>
      <w:r>
        <w:t xml:space="preserve"> </w:t>
      </w:r>
      <w:r>
        <w:t xml:space="preserve">identifying the benefits, costs and trade-offs associated with</w:t>
      </w:r>
      <w:r>
        <w:t xml:space="preserve"> </w:t>
      </w:r>
      <w:r>
        <w:t xml:space="preserve">particular design choices. This will enable electricity market designers</w:t>
      </w:r>
      <w:r>
        <w:t xml:space="preserve"> </w:t>
      </w:r>
      <w:r>
        <w:t xml:space="preserve">to make an informed choice in implementing effective and efficient</w:t>
      </w:r>
      <w:r>
        <w:t xml:space="preserve"> </w:t>
      </w:r>
      <w:r>
        <w:t xml:space="preserve">frequency control arrangements in low-carbon electricity markets.</w:t>
      </w:r>
    </w:p>
    <w:bookmarkEnd w:id="119"/>
    <w:bookmarkEnd w:id="120"/>
    <w:bookmarkStart w:id="121" w:name="sec:research_framework"/>
    <w:p>
      <w:pPr>
        <w:pStyle w:val="Heading1"/>
      </w:pPr>
      <w:r>
        <w:rPr>
          <w:rStyle w:val="SectionNumber"/>
        </w:rPr>
        <w:t xml:space="preserve">5</w:t>
      </w:r>
      <w:r>
        <w:tab/>
      </w:r>
      <w:r>
        <w:t xml:space="preserve">Research framework</w:t>
      </w:r>
    </w:p>
    <w:bookmarkEnd w:id="121"/>
    <w:bookmarkStart w:id="178" w:name="sec:fcs"/>
    <w:p>
      <w:pPr>
        <w:pStyle w:val="Heading1"/>
      </w:pPr>
      <w:r>
        <w:rPr>
          <w:rStyle w:val="SectionNumber"/>
        </w:rPr>
        <w:t xml:space="preserve">6</w:t>
      </w:r>
      <w:r>
        <w:tab/>
      </w:r>
      <w:r>
        <w:t xml:space="preserve">Frequency control arrangements: insights from the National Electricity Market</w:t>
      </w:r>
    </w:p>
    <w:bookmarkStart w:id="122"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122"/>
    <w:bookmarkStart w:id="123"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23"/>
    <w:bookmarkStart w:id="125"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4"/>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7"/>
        </w:numPr>
      </w:pPr>
      <w:r>
        <w:t xml:space="preserve">Mandate or incentivise participant behaviour in the energy market that facilitates system balancing. This includes enforcing dispatch compliance or penalising participant portfolio imbalances; and</w:t>
      </w:r>
    </w:p>
    <w:p>
      <w:pPr>
        <w:numPr>
          <w:ilvl w:val="0"/>
          <w:numId w:val="1007"/>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8"/>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8"/>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5"/>
    <w:bookmarkStart w:id="131" w:name="sec:fcs-context"/>
    <w:p>
      <w:pPr>
        <w:pStyle w:val="Heading2"/>
      </w:pPr>
      <w:r>
        <w:rPr>
          <w:rStyle w:val="SectionNumber"/>
        </w:rPr>
        <w:t xml:space="preserve">6.4</w:t>
      </w:r>
      <w:r>
        <w:tab/>
      </w:r>
      <w:r>
        <w:t xml:space="preserve">Context</w:t>
      </w:r>
    </w:p>
    <w:bookmarkStart w:id="126"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6"/>
    <w:bookmarkStart w:id="128" w:name="Xc82674c6760c115599413c45308acdf9ca7a6e4"/>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27"/>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28"/>
    <w:bookmarkStart w:id="129"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9"/>
    <w:bookmarkStart w:id="130"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30"/>
    <w:bookmarkEnd w:id="131"/>
    <w:bookmarkStart w:id="135" w:name="designing-frequency-control-arrangements"/>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09"/>
        </w:numPr>
      </w:pPr>
      <w:r>
        <w:t xml:space="preserve">FCS procurement;</w:t>
      </w:r>
    </w:p>
    <w:p>
      <w:pPr>
        <w:numPr>
          <w:ilvl w:val="0"/>
          <w:numId w:val="1009"/>
        </w:numPr>
      </w:pPr>
      <w:r>
        <w:t xml:space="preserve">Price formation, which when efficient should lead to FCS prices not only reflecting the true cost of the service, but also its true value to the system; and</w:t>
      </w:r>
    </w:p>
    <w:p>
      <w:pPr>
        <w:numPr>
          <w:ilvl w:val="0"/>
          <w:numId w:val="1009"/>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33"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32"/>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33"/>
    <w:bookmarkStart w:id="134"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34"/>
    <w:bookmarkEnd w:id="135"/>
    <w:bookmarkStart w:id="153" w:name="sec:fcs-nem"/>
    <w:p>
      <w:pPr>
        <w:pStyle w:val="Heading2"/>
      </w:pPr>
      <w:r>
        <w:rPr>
          <w:rStyle w:val="SectionNumber"/>
        </w:rPr>
        <w:t xml:space="preserve">6.6</w:t>
      </w:r>
      <w:r>
        <w:tab/>
      </w:r>
      <w:r>
        <w:t xml:space="preserve">Frequency control arrangements in the Australian National Electricity Market</w:t>
      </w:r>
    </w:p>
    <w:bookmarkStart w:id="139"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7" name="Picture"/>
            <a:graphic>
              <a:graphicData uri="http://schemas.openxmlformats.org/drawingml/2006/picture">
                <pic:pic>
                  <pic:nvPicPr>
                    <pic:cNvPr descr="source/figures/NEM.png" id="138" name="Picture"/>
                    <pic:cNvPicPr>
                      <a:picLocks noChangeArrowheads="1" noChangeAspect="1"/>
                    </pic:cNvPicPr>
                  </pic:nvPicPr>
                  <pic:blipFill>
                    <a:blip r:embed="rId136"/>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9"/>
    <w:bookmarkStart w:id="142"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40"/>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2020e</w:t>
        </w:r>
      </w:hyperlink>
      <w:r>
        <w:t xml:space="preserve">)</w:t>
      </w:r>
      <w:r>
        <w:t xml:space="preserve">.</w:t>
      </w:r>
      <w:r>
        <w:t xml:space="preserve"> </w:t>
      </w:r>
      <w:bookmarkStart w:id="141" w:name="tbl:fcs-fcas"/>
      <w:bookmarkEnd w:id="141"/>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e).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42"/>
    <w:bookmarkStart w:id="143"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43"/>
    <w:bookmarkStart w:id="147"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5" name="Picture"/>
            <a:graphic>
              <a:graphicData uri="http://schemas.openxmlformats.org/drawingml/2006/picture">
                <pic:pic>
                  <pic:nvPicPr>
                    <pic:cNvPr descr="source/figures/synchronous_ibr_entry_exit.eps" id="146" name="Picture"/>
                    <pic:cNvPicPr>
                      <a:picLocks noChangeArrowheads="1" noChangeAspect="1"/>
                    </pic:cNvPicPr>
                  </pic:nvPicPr>
                  <pic:blipFill>
                    <a:blip r:embed="rId144"/>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7"/>
    <w:bookmarkStart w:id="152"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8" w:name="control-mechanisms"/>
    <w:p>
      <w:pPr>
        <w:pStyle w:val="Heading4"/>
      </w:pPr>
      <w:r>
        <w:rPr>
          <w:rStyle w:val="SectionNumber"/>
        </w:rPr>
        <w:t xml:space="preserve">6.6.5.1</w:t>
      </w:r>
      <w:r>
        <w:tab/>
      </w:r>
      <w:r>
        <w:t xml:space="preserve">Control mechanisms:</w:t>
      </w:r>
    </w:p>
    <w:p>
      <w:pPr>
        <w:numPr>
          <w:ilvl w:val="0"/>
          <w:numId w:val="1010"/>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2020e</w:t>
        </w:r>
      </w:hyperlink>
      <w:r>
        <w:t xml:space="preserve">)</w:t>
      </w:r>
      <w:r>
        <w:t xml:space="preserve">.</w:t>
      </w:r>
    </w:p>
    <w:p>
      <w:pPr>
        <w:numPr>
          <w:ilvl w:val="0"/>
          <w:numId w:val="1010"/>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0"/>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48"/>
    <w:bookmarkStart w:id="149" w:name="market-based-mechanisms"/>
    <w:p>
      <w:pPr>
        <w:pStyle w:val="Heading4"/>
      </w:pPr>
      <w:r>
        <w:rPr>
          <w:rStyle w:val="SectionNumber"/>
        </w:rPr>
        <w:t xml:space="preserve">6.6.5.2</w:t>
      </w:r>
      <w:r>
        <w:tab/>
      </w:r>
      <w:r>
        <w:t xml:space="preserve">Market-based mechanisms:</w:t>
      </w:r>
    </w:p>
    <w:p>
      <w:pPr>
        <w:numPr>
          <w:ilvl w:val="0"/>
          <w:numId w:val="1011"/>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1"/>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1"/>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9"/>
    <w:bookmarkStart w:id="151" w:name="regulatory-mechanisms"/>
    <w:p>
      <w:pPr>
        <w:pStyle w:val="Heading4"/>
      </w:pPr>
      <w:r>
        <w:rPr>
          <w:rStyle w:val="SectionNumber"/>
        </w:rPr>
        <w:t xml:space="preserve">6.6.5.3</w:t>
      </w:r>
      <w:r>
        <w:tab/>
      </w:r>
      <w:r>
        <w:t xml:space="preserve">Regulatory mechanisms:</w:t>
      </w:r>
    </w:p>
    <w:p>
      <w:pPr>
        <w:numPr>
          <w:ilvl w:val="0"/>
          <w:numId w:val="1012"/>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50"/>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2"/>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2020i</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51"/>
    <w:bookmarkEnd w:id="152"/>
    <w:bookmarkEnd w:id="153"/>
    <w:bookmarkStart w:id="154"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54"/>
    <w:bookmarkStart w:id="159"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5"/>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7" name="Picture"/>
            <a:graphic>
              <a:graphicData uri="http://schemas.openxmlformats.org/drawingml/2006/picture">
                <pic:pic>
                  <pic:nvPicPr>
                    <pic:cNvPr descr="source/figures/all_responses_25082018.eps" id="158" name="Picture"/>
                    <pic:cNvPicPr>
                      <a:picLocks noChangeArrowheads="1" noChangeAspect="1"/>
                    </pic:cNvPicPr>
                  </pic:nvPicPr>
                  <pic:blipFill>
                    <a:blip r:embed="rId15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2020k</w:t>
        </w:r>
      </w:hyperlink>
      <w:r>
        <w:t xml:space="preserve">)</w:t>
      </w:r>
      <w:r>
        <w:t xml:space="preserve">.</w:t>
      </w:r>
    </w:p>
    <w:bookmarkEnd w:id="159"/>
    <w:bookmarkStart w:id="163"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3"/>
        </w:numPr>
        <w:pStyle w:val="Compact"/>
      </w:pPr>
      <w:r>
        <w:t xml:space="preserve">A lack of fast and decentralised tight-deadband PFR supporting slower SFR;</w:t>
      </w:r>
    </w:p>
    <w:p>
      <w:pPr>
        <w:numPr>
          <w:ilvl w:val="0"/>
          <w:numId w:val="1013"/>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3"/>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61" name="Picture"/>
            <a:graphic>
              <a:graphicData uri="http://schemas.openxmlformats.org/drawingml/2006/picture">
                <pic:pic>
                  <pic:nvPicPr>
                    <pic:cNvPr descr="source/figures/regional_SCADA_frequencies.eps" id="162" name="Picture"/>
                    <pic:cNvPicPr>
                      <a:picLocks noChangeArrowheads="1" noChangeAspect="1"/>
                    </pic:cNvPicPr>
                  </pic:nvPicPr>
                  <pic:blipFill>
                    <a:blip r:embed="rId160"/>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63"/>
    <w:bookmarkStart w:id="175"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5" name="Picture"/>
            <a:graphic>
              <a:graphicData uri="http://schemas.openxmlformats.org/drawingml/2006/picture">
                <pic:pic>
                  <pic:nvPicPr>
                    <pic:cNvPr descr="source/figures/energy_raise_fcas_vwap_quarterly_2014_2020_v2.png" id="166" name="Picture"/>
                    <pic:cNvPicPr>
                      <a:picLocks noChangeArrowheads="1" noChangeAspect="1"/>
                    </pic:cNvPicPr>
                  </pic:nvPicPr>
                  <pic:blipFill>
                    <a:blip r:embed="rId164"/>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8" name="Picture"/>
            <a:graphic>
              <a:graphicData uri="http://schemas.openxmlformats.org/drawingml/2006/picture">
                <pic:pic>
                  <pic:nvPicPr>
                    <pic:cNvPr descr="source/figures/nem_nofb_frequency_2005_2018_digitised.eps" id="169" name="Picture"/>
                    <pic:cNvPicPr>
                      <a:picLocks noChangeArrowheads="1" noChangeAspect="1"/>
                    </pic:cNvPicPr>
                  </pic:nvPicPr>
                  <pic:blipFill>
                    <a:blip r:embed="rId167"/>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70"/>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72" name="Picture"/>
            <a:graphic>
              <a:graphicData uri="http://schemas.openxmlformats.org/drawingml/2006/picture">
                <pic:pic>
                  <pic:nvPicPr>
                    <pic:cNvPr descr="source/figures/f_stddev_2009_2021.png" id="173" name="Picture"/>
                    <pic:cNvPicPr>
                      <a:picLocks noChangeArrowheads="1" noChangeAspect="1"/>
                    </pic:cNvPicPr>
                  </pic:nvPicPr>
                  <pic:blipFill>
                    <a:blip r:embed="rId171"/>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4"/>
        </w:numPr>
        <w:pStyle w:val="Compact"/>
      </w:pPr>
      <w:r>
        <w:t xml:space="preserve">Procure contingency FCAS volumes based on system inertia;</w:t>
      </w:r>
    </w:p>
    <w:p>
      <w:pPr>
        <w:numPr>
          <w:ilvl w:val="0"/>
          <w:numId w:val="1014"/>
        </w:numPr>
        <w:pStyle w:val="Compact"/>
      </w:pPr>
      <w:r>
        <w:t xml:space="preserve">Apply regional contingency and regulation FCAS requirements; and</w:t>
      </w:r>
    </w:p>
    <w:p>
      <w:pPr>
        <w:numPr>
          <w:ilvl w:val="0"/>
          <w:numId w:val="1014"/>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w:t>
        </w:r>
      </w:hyperlink>
      <w:r>
        <w:t xml:space="preserve">)</w:t>
      </w:r>
      <w:r>
        <w:t xml:space="preserve">, will likely improve AEMO’s operational toolbox for managing a low-inertia NEM.</w:t>
      </w:r>
    </w:p>
    <w:bookmarkStart w:id="174"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4"/>
    <w:bookmarkEnd w:id="175"/>
    <w:bookmarkStart w:id="176"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6c60a147e49364a37325ec3c8c342d718257c70">
        <w:r>
          <w:rPr>
            <w:rStyle w:val="Hyperlink"/>
          </w:rPr>
          <w:t xml:space="preserve">2020</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2020l</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w:t>
        </w:r>
      </w:hyperlink>
      <w:r>
        <w:t xml:space="preserve">)</w:t>
      </w:r>
      <w:r>
        <w:t xml:space="preserve">. However, the shape of these system demand curves and how they account for interdependent or interchangeable FCAS will ultimately dictate their success.</w:t>
      </w:r>
    </w:p>
    <w:bookmarkEnd w:id="176"/>
    <w:bookmarkStart w:id="177" w:name="conclusion-1"/>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5"/>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5"/>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5"/>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5"/>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7"/>
    <w:bookmarkEnd w:id="178"/>
    <w:bookmarkStart w:id="258" w:name="sec:reserves"/>
    <w:p>
      <w:pPr>
        <w:pStyle w:val="Heading1"/>
      </w:pPr>
      <w:r>
        <w:rPr>
          <w:rStyle w:val="SectionNumber"/>
        </w:rPr>
        <w:t xml:space="preserve">7</w:t>
      </w:r>
      <w:r>
        <w:tab/>
      </w:r>
      <w:r>
        <w:t xml:space="preserve">Quantifying reserve capabilities: an Australian case study with increasing penetrations of renewables</w:t>
      </w:r>
    </w:p>
    <w:bookmarkStart w:id="179"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79"/>
    <w:bookmarkStart w:id="180"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80"/>
    <w:bookmarkStart w:id="181" w:name="introduction-1"/>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6"/>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6"/>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7"/>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7"/>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7"/>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18"/>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18"/>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18"/>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19"/>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19"/>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81"/>
    <w:bookmarkStart w:id="194"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6" w:name="market-design"/>
    <w:p>
      <w:pPr>
        <w:pStyle w:val="Heading3"/>
      </w:pPr>
      <w:r>
        <w:rPr>
          <w:rStyle w:val="SectionNumber"/>
        </w:rPr>
        <w:t xml:space="preserve">7.4.1</w:t>
      </w:r>
      <w:r>
        <w:tab/>
      </w:r>
      <w:r>
        <w:t xml:space="preserve">Market design</w:t>
      </w:r>
    </w:p>
    <w:bookmarkStart w:id="183"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0"/>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0"/>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0"/>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82"/>
      </w:r>
      <w:r>
        <w:t xml:space="preserve"> </w:t>
      </w:r>
      <w:r>
        <w:t xml:space="preserve">(</w:t>
      </w:r>
      <w:hyperlink w:anchor="X3f3a611a4aac621679da42392957269bd79b28f">
        <w:r>
          <w:rPr>
            <w:rStyle w:val="Hyperlink"/>
          </w:rPr>
          <w:t xml:space="preserve">Australian Energy Market Operator, 2020m</w:t>
        </w:r>
      </w:hyperlink>
      <w:r>
        <w:t xml:space="preserve">)</w:t>
      </w:r>
      <w:r>
        <w:t xml:space="preserve">.</w:t>
      </w:r>
    </w:p>
    <w:bookmarkEnd w:id="183"/>
    <w:bookmarkStart w:id="184"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4"/>
    <w:bookmarkStart w:id="185"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1"/>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1"/>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1"/>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1"/>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5"/>
    <w:bookmarkEnd w:id="186"/>
    <w:bookmarkStart w:id="188"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2"/>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2020n</w:t>
        </w:r>
      </w:hyperlink>
      <w:r>
        <w:t xml:space="preserve">,</w:t>
      </w:r>
      <w:r>
        <w:t xml:space="preserve"> </w:t>
      </w:r>
      <w:hyperlink w:anchor="X3d4c8dbacd98ce489f3f9224cc3851ddc516c4d">
        <w:r>
          <w:rPr>
            <w:rStyle w:val="Hyperlink"/>
          </w:rPr>
          <w:t xml:space="preserve">2012</w:t>
        </w:r>
      </w:hyperlink>
      <w:r>
        <w:t xml:space="preserve">)</w:t>
      </w:r>
      <w:r>
        <w:t xml:space="preserve">.</w:t>
      </w:r>
    </w:p>
    <w:p>
      <w:pPr>
        <w:numPr>
          <w:ilvl w:val="0"/>
          <w:numId w:val="1022"/>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7"/>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8"/>
    <w:bookmarkStart w:id="193"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90" name="Picture"/>
            <a:graphic>
              <a:graphicData uri="http://schemas.openxmlformats.org/drawingml/2006/picture">
                <pic:pic>
                  <pic:nvPicPr>
                    <pic:cNvPr descr="source/figures/raise5minq42020.png" id="191" name="Picture"/>
                    <pic:cNvPicPr>
                      <a:picLocks noChangeArrowheads="1" noChangeAspect="1"/>
                    </pic:cNvPicPr>
                  </pic:nvPicPr>
                  <pic:blipFill>
                    <a:blip r:embed="rId189"/>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92"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w:t>
        </w:r>
      </w:hyperlink>
      <w:r>
        <w:t xml:space="preserve">)</w:t>
      </w:r>
      <w:r>
        <w:t xml:space="preserve">. Market bodies and participants have raised several potential benefits of an operating reserve product:</w:t>
      </w:r>
    </w:p>
    <w:p>
      <w:pPr>
        <w:numPr>
          <w:ilvl w:val="0"/>
          <w:numId w:val="1023"/>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3"/>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3"/>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92"/>
    <w:bookmarkEnd w:id="193"/>
    <w:bookmarkEnd w:id="194"/>
    <w:bookmarkStart w:id="215"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5"/>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4"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200" w:name="sec:reserves-nomenclature"/>
    <w:p>
      <w:pPr>
        <w:pStyle w:val="Heading4"/>
      </w:pPr>
      <w:r>
        <w:rPr>
          <w:rStyle w:val="SectionNumber"/>
        </w:rPr>
        <w:t xml:space="preserve">7.5.1.1</w:t>
      </w:r>
      <w:r>
        <w:tab/>
      </w:r>
      <w:r>
        <w:t xml:space="preserve">Nomenclature</w:t>
      </w:r>
    </w:p>
    <w:bookmarkStart w:id="196" w:name="indices-and-sets"/>
    <w:p>
      <w:pPr>
        <w:pStyle w:val="Heading5"/>
      </w:pPr>
      <w:r>
        <w:rPr>
          <w:rStyle w:val="SectionNumber"/>
        </w:rPr>
        <w:t xml:space="preserve">7.5.1.1.1</w:t>
      </w:r>
      <w:r>
        <w:tab/>
      </w:r>
      <w:r>
        <w:t xml:space="preserve">Indices and sets</w:t>
      </w:r>
    </w:p>
    <w:bookmarkEnd w:id="196"/>
    <w:bookmarkStart w:id="197" w:name="time-varying-resource-parameters"/>
    <w:p>
      <w:pPr>
        <w:pStyle w:val="Heading5"/>
      </w:pPr>
      <w:r>
        <w:rPr>
          <w:rStyle w:val="SectionNumber"/>
        </w:rPr>
        <w:t xml:space="preserve">7.5.1.1.2</w:t>
      </w:r>
      <w:r>
        <w:tab/>
      </w:r>
      <w:r>
        <w:t xml:space="preserve">Time-varying resource parameters</w:t>
      </w:r>
    </w:p>
    <w:bookmarkEnd w:id="197"/>
    <w:bookmarkStart w:id="198" w:name="static-resource-parameters"/>
    <w:p>
      <w:pPr>
        <w:pStyle w:val="Heading5"/>
      </w:pPr>
      <w:r>
        <w:rPr>
          <w:rStyle w:val="SectionNumber"/>
        </w:rPr>
        <w:t xml:space="preserve">7.5.1.1.3</w:t>
      </w:r>
      <w:r>
        <w:tab/>
      </w:r>
      <w:r>
        <w:t xml:space="preserve">Static resource parameters</w:t>
      </w:r>
    </w:p>
    <w:bookmarkEnd w:id="198"/>
    <w:bookmarkStart w:id="199" w:name="computed-quantities"/>
    <w:p>
      <w:pPr>
        <w:pStyle w:val="Heading5"/>
      </w:pPr>
      <w:r>
        <w:rPr>
          <w:rStyle w:val="SectionNumber"/>
        </w:rPr>
        <w:t xml:space="preserve">7.5.1.1.4</w:t>
      </w:r>
      <w:r>
        <w:tab/>
      </w:r>
      <w:r>
        <w:t xml:space="preserve">Computed quantities</w:t>
      </w:r>
    </w:p>
    <w:bookmarkEnd w:id="199"/>
    <w:bookmarkEnd w:id="200"/>
    <w:bookmarkStart w:id="204"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201"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\end{cases}\qquad{(1)}$$</w:t>
      </w:r>
      <w:bookmarkEnd w:id="201"/>
    </w:p>
    <w:p>
      <w:pPr>
        <w:pStyle w:val="FirstParagraph"/>
      </w:pPr>
      <w:r>
        <w:t xml:space="preserve">The three conditions in Equation 1 reflect the following:</w:t>
      </w:r>
    </w:p>
    <w:p>
      <w:pPr>
        <w:numPr>
          <w:ilvl w:val="0"/>
          <w:numId w:val="1024"/>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4"/>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4"/>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2, which has two conditions that resemble the first two conditions of Equation 1:</w:t>
      </w:r>
    </w:p>
    <w:p>
      <w:pPr>
        <w:pStyle w:val="BodyText"/>
      </w:pPr>
      <w:bookmarkStart w:id="202" w:name="eq:convoffres"/>
      <w:r>
        <w:t xml:space="preserve">$$AR_{r_c,h,t}^{OFF} = \begin{cases}
          \mathrm{StartUp}_{r_c} \times h &amp; g_{r_c,t}=0, h \leq \mathrm{SUT}_{r_c,t} \\
          \min(\\ \hspace{0.2cm} \mathrm{MSL}_{r_c} + \mathrm{RampUp}_{r_c} \times (h-\mathrm{SUT}_{r_c,t}),\\ \hspace{0.2cm} \overline{g}_{r_c,t} - g_{r_c,t}\\) &amp; g_{r_c,t}=0,  h&gt;\mathrm{SUT}_{r_c,t}
       \end{cases}\qquad{(2)}$$</w:t>
      </w:r>
      <w:bookmarkEnd w:id="202"/>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3):</w:t>
      </w:r>
    </w:p>
    <w:p>
      <w:pPr>
        <w:pStyle w:val="BodyText"/>
      </w:pPr>
      <w:bookmarkStart w:id="203"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3</m:t>
              </m:r>
            </m:e>
          </m:d>
        </m:oMath>
      </m:oMathPara>
      <w:bookmarkEnd w:id="203"/>
    </w:p>
    <w:bookmarkEnd w:id="204"/>
    <w:bookmarkStart w:id="207"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5"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4</m:t>
              </m:r>
            </m:e>
          </m:d>
        </m:oMath>
      </m:oMathPara>
      <w:bookmarkEnd w:id="205"/>
    </w:p>
    <w:p>
      <w:pPr>
        <w:pStyle w:val="FirstParagraph"/>
      </w:pPr>
      <w:bookmarkStart w:id="206"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5</m:t>
              </m:r>
            </m:e>
          </m:d>
        </m:oMath>
      </m:oMathPara>
      <w:bookmarkEnd w:id="206"/>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7"/>
    <w:bookmarkStart w:id="210"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6) and available footroom (Equation 7):</w:t>
      </w:r>
    </w:p>
    <w:p>
      <w:pPr>
        <w:pStyle w:val="BodyText"/>
      </w:pPr>
      <w:bookmarkStart w:id="208"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6</m:t>
              </m:r>
            </m:e>
          </m:d>
        </m:oMath>
      </m:oMathPara>
      <w:bookmarkEnd w:id="208"/>
    </w:p>
    <w:p>
      <w:pPr>
        <w:pStyle w:val="FirstParagraph"/>
      </w:pPr>
      <w:bookmarkStart w:id="209"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7</m:t>
              </m:r>
            </m:e>
          </m:d>
        </m:oMath>
      </m:oMathPara>
      <w:bookmarkEnd w:id="209"/>
    </w:p>
    <w:bookmarkEnd w:id="210"/>
    <w:bookmarkStart w:id="213"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8 and Equation 9, respectively:</w:t>
      </w:r>
    </w:p>
    <w:p>
      <w:pPr>
        <w:pStyle w:val="BodyText"/>
      </w:pPr>
      <w:bookmarkStart w:id="211"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8</m:t>
              </m:r>
            </m:e>
          </m:d>
        </m:oMath>
      </m:oMathPara>
      <w:bookmarkEnd w:id="211"/>
    </w:p>
    <w:p>
      <w:pPr>
        <w:pStyle w:val="FirstParagraph"/>
      </w:pPr>
      <w:bookmarkStart w:id="212"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9</m:t>
              </m:r>
            </m:e>
          </m:d>
        </m:oMath>
      </m:oMathPara>
      <w:bookmarkEnd w:id="212"/>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13"/>
    <w:bookmarkEnd w:id="214"/>
    <w:bookmarkEnd w:id="215"/>
    <w:bookmarkStart w:id="256" w:name="sec:reserves-casestudy"/>
    <w:p>
      <w:pPr>
        <w:pStyle w:val="Heading2"/>
      </w:pPr>
      <w:r>
        <w:rPr>
          <w:rStyle w:val="SectionNumber"/>
        </w:rPr>
        <w:t xml:space="preserve">7.6</w:t>
      </w:r>
      <w:r>
        <w:tab/>
      </w:r>
      <w:r>
        <w:t xml:space="preserve">Case Study: Two Regions in the National Electricity Market</w:t>
      </w:r>
    </w:p>
    <w:bookmarkStart w:id="226"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w:t>
      </w:r>
      <w:r>
        <w:rPr>
          <w:rStyle w:val="FootnoteReference"/>
        </w:rPr>
        <w:footnoteReference w:id="216"/>
      </w:r>
      <w:r>
        <w:t xml:space="preserve">.</w:t>
      </w:r>
    </w:p>
    <w:bookmarkStart w:id="217"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5"/>
              </w:numPr>
              <w:pStyle w:val="Compact"/>
              <w:jc w:val="center"/>
            </w:pPr>
            <w:r>
              <w:t xml:space="preserve">Modelled using historical demand and existing resources</w:t>
            </w:r>
          </w:p>
          <w:p>
            <w:pPr>
              <w:numPr>
                <w:ilvl w:val="1"/>
                <w:numId w:val="1026"/>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27"/>
              </w:numPr>
              <w:pStyle w:val="Compact"/>
              <w:jc w:val="center"/>
            </w:pPr>
            <w:r>
              <w:t xml:space="preserve">Based on existing policy settings at the time of 2020 ISP:</w:t>
            </w:r>
          </w:p>
          <w:p>
            <w:pPr>
              <w:numPr>
                <w:ilvl w:val="1"/>
                <w:numId w:val="1028"/>
              </w:numPr>
              <w:pStyle w:val="Compact"/>
              <w:jc w:val="center"/>
            </w:pPr>
            <w:r>
              <w:t xml:space="preserve">Moderate deployment of VRE and BESS</w:t>
            </w:r>
          </w:p>
          <w:p>
            <w:pPr>
              <w:numPr>
                <w:ilvl w:val="1"/>
                <w:numId w:val="1028"/>
              </w:numPr>
              <w:pStyle w:val="Compact"/>
              <w:jc w:val="center"/>
            </w:pPr>
            <w:r>
              <w:t xml:space="preserve">Distributed solar PV has moderate impact on operational demand</w:t>
            </w:r>
          </w:p>
          <w:p>
            <w:pPr>
              <w:numPr>
                <w:ilvl w:val="1"/>
                <w:numId w:val="1028"/>
              </w:numPr>
              <w:pStyle w:val="Compact"/>
              <w:jc w:val="center"/>
            </w:pPr>
            <w:r>
              <w:t xml:space="preserve">Thermal unit retirements in both states</w:t>
            </w:r>
          </w:p>
          <w:p>
            <w:pPr>
              <w:numPr>
                <w:ilvl w:val="1"/>
                <w:numId w:val="1028"/>
              </w:numPr>
              <w:pStyle w:val="Compact"/>
              <w:jc w:val="center"/>
            </w:pPr>
            <w:r>
              <w:t xml:space="preserve">Large hydropower capacity addition in NSW</w:t>
            </w:r>
          </w:p>
          <w:p>
            <w:pPr>
              <w:numPr>
                <w:ilvl w:val="1"/>
                <w:numId w:val="1028"/>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29"/>
              </w:numPr>
              <w:pStyle w:val="Compact"/>
              <w:jc w:val="center"/>
            </w:pPr>
            <w:r>
              <w:t xml:space="preserve">More aggressive transition:</w:t>
            </w:r>
          </w:p>
          <w:p>
            <w:pPr>
              <w:numPr>
                <w:ilvl w:val="1"/>
                <w:numId w:val="1030"/>
              </w:numPr>
              <w:pStyle w:val="Compact"/>
              <w:jc w:val="center"/>
            </w:pPr>
            <w:r>
              <w:t xml:space="preserve">Large deployments of VRE and BESS</w:t>
            </w:r>
          </w:p>
          <w:p>
            <w:pPr>
              <w:numPr>
                <w:ilvl w:val="1"/>
                <w:numId w:val="1030"/>
              </w:numPr>
              <w:pStyle w:val="Compact"/>
              <w:jc w:val="center"/>
            </w:pPr>
            <w:r>
              <w:t xml:space="preserve">Distributed solar PV has greater impact on operational demand</w:t>
            </w:r>
          </w:p>
          <w:p>
            <w:pPr>
              <w:numPr>
                <w:ilvl w:val="1"/>
                <w:numId w:val="1030"/>
              </w:numPr>
              <w:pStyle w:val="Compact"/>
              <w:jc w:val="center"/>
            </w:pPr>
            <w:r>
              <w:t xml:space="preserve">Further thermal unit retirements in NSW</w:t>
            </w:r>
          </w:p>
          <w:p>
            <w:pPr>
              <w:numPr>
                <w:ilvl w:val="1"/>
                <w:numId w:val="1030"/>
              </w:numPr>
              <w:pStyle w:val="Compact"/>
              <w:jc w:val="center"/>
            </w:pPr>
            <w:r>
              <w:t xml:space="preserve">Large hydropower capacity addition in NSW</w:t>
            </w:r>
          </w:p>
          <w:p>
            <w:pPr>
              <w:numPr>
                <w:ilvl w:val="1"/>
                <w:numId w:val="1030"/>
              </w:numPr>
              <w:pStyle w:val="Compact"/>
              <w:jc w:val="center"/>
            </w:pPr>
            <w:r>
              <w:t xml:space="preserve">Fewer synchronous units must run for system strength in SA</w:t>
            </w:r>
          </w:p>
        </w:tc>
      </w:tr>
    </w:tbl>
    <w:bookmarkEnd w:id="217"/>
    <w:p>
      <w:pPr>
        <w:pStyle w:val="FirstParagraph"/>
      </w:pPr>
      <w:r>
        <w:t xml:space="preserve">Modelling SA and NSW across these three scenarios enables four sensitivities to be explored:</w:t>
      </w:r>
    </w:p>
    <w:p>
      <w:pPr>
        <w:numPr>
          <w:ilvl w:val="0"/>
          <w:numId w:val="1031"/>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1"/>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1"/>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1"/>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21" w:name="fig:nsw_capacities"/>
            <w:r>
              <w:drawing>
                <wp:inline>
                  <wp:extent cx="2667000" cy="1352397"/>
                  <wp:effectExtent b="0" l="0" r="0" t="0"/>
                  <wp:docPr descr="a" title="" id="219" name="Picture"/>
                  <a:graphic>
                    <a:graphicData uri="http://schemas.openxmlformats.org/drawingml/2006/picture">
                      <pic:pic>
                        <pic:nvPicPr>
                          <pic:cNvPr descr="source/figures/nsw_capacities.png" id="220" name="Picture"/>
                          <pic:cNvPicPr>
                            <a:picLocks noChangeArrowheads="1" noChangeAspect="1"/>
                          </pic:cNvPicPr>
                        </pic:nvPicPr>
                        <pic:blipFill>
                          <a:blip r:embed="rId218"/>
                          <a:stretch>
                            <a:fillRect/>
                          </a:stretch>
                        </pic:blipFill>
                        <pic:spPr bwMode="auto">
                          <a:xfrm>
                            <a:off x="0" y="0"/>
                            <a:ext cx="2667000" cy="1352397"/>
                          </a:xfrm>
                          <a:prstGeom prst="rect">
                            <a:avLst/>
                          </a:prstGeom>
                          <a:noFill/>
                          <a:ln w="9525">
                            <a:noFill/>
                            <a:headEnd/>
                            <a:tailEnd/>
                          </a:ln>
                        </pic:spPr>
                      </pic:pic>
                    </a:graphicData>
                  </a:graphic>
                </wp:inline>
              </w:drawing>
            </w:r>
            <w:bookmarkEnd w:id="221"/>
          </w:p>
        </w:tc>
        <w:tc>
          <w:tcPr/>
          <w:p>
            <w:pPr>
              <w:jc w:val="center"/>
            </w:pPr>
            <w:bookmarkStart w:id="225" w:name="fig:sa_capacities"/>
            <w:r>
              <w:drawing>
                <wp:inline>
                  <wp:extent cx="2667000" cy="1352397"/>
                  <wp:effectExtent b="0" l="0" r="0" t="0"/>
                  <wp:docPr descr="b" title="" id="223" name="Picture"/>
                  <a:graphic>
                    <a:graphicData uri="http://schemas.openxmlformats.org/drawingml/2006/picture">
                      <pic:pic>
                        <pic:nvPicPr>
                          <pic:cNvPr descr="source/figures/sa_capacities.png" id="224" name="Picture"/>
                          <pic:cNvPicPr>
                            <a:picLocks noChangeArrowheads="1" noChangeAspect="1"/>
                          </pic:cNvPicPr>
                        </pic:nvPicPr>
                        <pic:blipFill>
                          <a:blip r:embed="rId222"/>
                          <a:stretch>
                            <a:fillRect/>
                          </a:stretch>
                        </pic:blipFill>
                        <pic:spPr bwMode="auto">
                          <a:xfrm>
                            <a:off x="0" y="0"/>
                            <a:ext cx="2667000" cy="1352397"/>
                          </a:xfrm>
                          <a:prstGeom prst="rect">
                            <a:avLst/>
                          </a:prstGeom>
                          <a:noFill/>
                          <a:ln w="9525">
                            <a:noFill/>
                            <a:headEnd/>
                            <a:tailEnd/>
                          </a:ln>
                        </pic:spPr>
                      </pic:pic>
                    </a:graphicData>
                  </a:graphic>
                </wp:inline>
              </w:drawing>
            </w:r>
            <w:bookmarkEnd w:id="225"/>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6"/>
    <w:bookmarkStart w:id="231"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7"/>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9" name="Picture"/>
            <a:graphic>
              <a:graphicData uri="http://schemas.openxmlformats.org/drawingml/2006/picture">
                <pic:pic>
                  <pic:nvPicPr>
                    <pic:cNvPr descr="source/figures/modelling_diagram.png" id="230" name="Picture"/>
                    <pic:cNvPicPr>
                      <a:picLocks noChangeArrowheads="1" noChangeAspect="1"/>
                    </pic:cNvPicPr>
                  </pic:nvPicPr>
                  <pic:blipFill>
                    <a:blip r:embed="rId228"/>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31"/>
    <w:bookmarkStart w:id="234"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32"/>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33"/>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2"/>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2"/>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2"/>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4"/>
    <w:bookmarkStart w:id="253" w:name="sec:reserves-results"/>
    <w:p>
      <w:pPr>
        <w:pStyle w:val="Heading3"/>
      </w:pPr>
      <w:r>
        <w:rPr>
          <w:rStyle w:val="SectionNumber"/>
        </w:rPr>
        <w:t xml:space="preserve">7.6.4</w:t>
      </w:r>
      <w:r>
        <w:tab/>
      </w:r>
      <w:r>
        <w:t xml:space="preserve">Results and discussion</w:t>
      </w:r>
    </w:p>
    <w:bookmarkStart w:id="236"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3"/>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3"/>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5"/>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6"/>
    <w:bookmarkStart w:id="243"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4"/>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4"/>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rPr>
          <w:t xml:space="preserve">Prakash, 2023</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8" name="Picture"/>
            <a:graphic>
              <a:graphicData uri="http://schemas.openxmlformats.org/drawingml/2006/picture">
                <pic:pic>
                  <pic:nvPicPr>
                    <pic:cNvPr descr="./source/figures/NSW_reserves_all_profiles_by_di.png" id="239" name="Picture"/>
                    <pic:cNvPicPr>
                      <a:picLocks noChangeArrowheads="1" noChangeAspect="1"/>
                    </pic:cNvPicPr>
                  </pic:nvPicPr>
                  <pic:blipFill>
                    <a:blip r:embed="rId237"/>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41" name="Picture"/>
            <a:graphic>
              <a:graphicData uri="http://schemas.openxmlformats.org/drawingml/2006/picture">
                <pic:pic>
                  <pic:nvPicPr>
                    <pic:cNvPr descr="./source/figures/SA_reserves_all_profiles_by_di.png" id="242" name="Picture"/>
                    <pic:cNvPicPr>
                      <a:picLocks noChangeArrowheads="1" noChangeAspect="1"/>
                    </pic:cNvPicPr>
                  </pic:nvPicPr>
                  <pic:blipFill>
                    <a:blip r:embed="rId24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5"/>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5"/>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43"/>
    <w:bookmarkStart w:id="250"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5" name="Picture"/>
            <a:graphic>
              <a:graphicData uri="http://schemas.openxmlformats.org/drawingml/2006/picture">
                <pic:pic>
                  <pic:nvPicPr>
                    <pic:cNvPr descr="./source/figures/NSW_firmfootroom_all_profiles_by_di.png" id="246" name="Picture"/>
                    <pic:cNvPicPr>
                      <a:picLocks noChangeArrowheads="1" noChangeAspect="1"/>
                    </pic:cNvPicPr>
                  </pic:nvPicPr>
                  <pic:blipFill>
                    <a:blip r:embed="rId24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8" name="Picture"/>
            <a:graphic>
              <a:graphicData uri="http://schemas.openxmlformats.org/drawingml/2006/picture">
                <pic:pic>
                  <pic:nvPicPr>
                    <pic:cNvPr descr="./source/figures/NSW_footroom_all_profiles_by_di.png" id="249" name="Picture"/>
                    <pic:cNvPicPr>
                      <a:picLocks noChangeArrowheads="1" noChangeAspect="1"/>
                    </pic:cNvPicPr>
                  </pic:nvPicPr>
                  <pic:blipFill>
                    <a:blip r:embed="rId247"/>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50"/>
    <w:bookmarkStart w:id="252"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2020o</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51"/>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52"/>
    <w:bookmarkEnd w:id="253"/>
    <w:bookmarkStart w:id="255"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6"/>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4"/>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6"/>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5"/>
    <w:bookmarkEnd w:id="256"/>
    <w:bookmarkStart w:id="257"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7"/>
    <w:bookmarkEnd w:id="258"/>
    <w:bookmarkStart w:id="264" w:name="sec:fourth"/>
    <w:p>
      <w:pPr>
        <w:pStyle w:val="Heading1"/>
      </w:pPr>
      <w:r>
        <w:rPr>
          <w:rStyle w:val="SectionNumber"/>
        </w:rPr>
        <w:t xml:space="preserve">8</w:t>
      </w:r>
      <w:r>
        <w:tab/>
      </w:r>
      <w:r>
        <w:t xml:space="preserve">Final research study</w:t>
      </w:r>
    </w:p>
    <w:bookmarkStart w:id="259" w:name="introduction-2"/>
    <w:p>
      <w:pPr>
        <w:pStyle w:val="Heading2"/>
      </w:pPr>
      <w:r>
        <w:rPr>
          <w:rStyle w:val="SectionNumber"/>
        </w:rPr>
        <w:t xml:space="preserve">8.1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259"/>
    <w:bookmarkStart w:id="260" w:name="method"/>
    <w:p>
      <w:pPr>
        <w:pStyle w:val="Heading2"/>
      </w:pPr>
      <w:r>
        <w:rPr>
          <w:rStyle w:val="SectionNumber"/>
        </w:rPr>
        <w:t xml:space="preserve">8.2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End w:id="260"/>
    <w:bookmarkStart w:id="261" w:name="results"/>
    <w:p>
      <w:pPr>
        <w:pStyle w:val="Heading2"/>
      </w:pPr>
      <w:r>
        <w:rPr>
          <w:rStyle w:val="SectionNumber"/>
        </w:rPr>
        <w:t xml:space="preserve">8.3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261"/>
    <w:bookmarkStart w:id="262" w:name="discussion"/>
    <w:p>
      <w:pPr>
        <w:pStyle w:val="Heading2"/>
      </w:pPr>
      <w:r>
        <w:rPr>
          <w:rStyle w:val="SectionNumber"/>
        </w:rPr>
        <w:t xml:space="preserve">8.4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262"/>
    <w:bookmarkStart w:id="263" w:name="conclusion-2"/>
    <w:p>
      <w:pPr>
        <w:pStyle w:val="Heading2"/>
      </w:pPr>
      <w:r>
        <w:rPr>
          <w:rStyle w:val="SectionNumber"/>
        </w:rPr>
        <w:t xml:space="preserve">8.5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263"/>
    <w:bookmarkEnd w:id="264"/>
    <w:bookmarkStart w:id="267" w:name="sec:conclusion"/>
    <w:p>
      <w:pPr>
        <w:pStyle w:val="Heading1"/>
      </w:pPr>
      <w:r>
        <w:rPr>
          <w:rStyle w:val="SectionNumber"/>
        </w:rPr>
        <w:t xml:space="preserve">9</w:t>
      </w:r>
      <w:r>
        <w:tab/>
      </w:r>
      <w:r>
        <w:t xml:space="preserve">Conclusion</w:t>
      </w:r>
    </w:p>
    <w:bookmarkStart w:id="265"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265"/>
    <w:bookmarkStart w:id="266"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p>
      <w:pPr>
        <w:pStyle w:val="BodyText"/>
      </w:pPr>
      <w:r>
        <w:t xml:space="preserve">#</w:t>
      </w:r>
    </w:p>
    <w:bookmarkEnd w:id="266"/>
    <w:bookmarkEnd w:id="267"/>
    <w:bookmarkStart w:id="284" w:name="X79d4964e2d76d0384256ac8f0c0adc20d1650ff"/>
    <w:p>
      <w:pPr>
        <w:pStyle w:val="Heading1"/>
      </w:pPr>
      <w:r>
        <w:rPr>
          <w:rStyle w:val="SectionNumber"/>
        </w:rPr>
        <w:t xml:space="preserve">10</w:t>
      </w:r>
      <w:r>
        <w:tab/>
      </w:r>
      <w:r>
        <w:t xml:space="preserve">Data and assumptions used in market simulation</w:t>
      </w:r>
    </w:p>
    <w:bookmarkStart w:id="272"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268"/>
      </w:r>
      <w:r>
        <w:t xml:space="preserve"> </w:t>
      </w:r>
      <w:r>
        <w:t xml:space="preserve">in 2020, and the upper ramp rate was calculated using resources’ assumed maximum ramp rates in AEMO’s 2020 Inputs and Assumptions workbook (for an example of a comparison, see Figure 22)</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270" name="Picture"/>
            <a:graphic>
              <a:graphicData uri="http://schemas.openxmlformats.org/drawingml/2006/picture">
                <pic:pic>
                  <pic:nvPicPr>
                    <pic:cNvPr descr="source/figures/coal_market_upper_ramps.png" id="271" name="Picture"/>
                    <pic:cNvPicPr>
                      <a:picLocks noChangeArrowheads="1" noChangeAspect="1"/>
                    </pic:cNvPicPr>
                  </pic:nvPicPr>
                  <pic:blipFill>
                    <a:blip r:embed="rId269"/>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22: Ramp rates observed (red) and used in dispatch by AEMO (blue) for a coal-fired unit in NSW in 2020. The green line denotes the ramp rate assumed by AEMO in its 2020 Inputs and Assumptions workbook and the 2020 ISP.</w:t>
      </w:r>
    </w:p>
    <w:bookmarkEnd w:id="272"/>
    <w:bookmarkStart w:id="273"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2021q</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273"/>
    <w:bookmarkStart w:id="274"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w:t>
      </w:r>
    </w:p>
    <w:bookmarkEnd w:id="274"/>
    <w:bookmarkStart w:id="275"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w:t>
      </w:r>
    </w:p>
    <w:bookmarkEnd w:id="275"/>
    <w:bookmarkStart w:id="276"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276"/>
    <w:bookmarkStart w:id="277"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2020p</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277"/>
    <w:bookmarkStart w:id="283"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278"/>
      </w:r>
      <w:r>
        <w:t xml:space="preserve">:</w:t>
      </w:r>
    </w:p>
    <w:p>
      <w:pPr>
        <w:numPr>
          <w:ilvl w:val="0"/>
          <w:numId w:val="1037"/>
        </w:numPr>
        <w:pStyle w:val="Compact"/>
      </w:pPr>
      <w:r>
        <w:t xml:space="preserve">For wind and solar PV generators, the entire available forecasted energy was offered at the market floor price to ensure preferential dispatch of VRE where possible.</w:t>
      </w:r>
    </w:p>
    <w:p>
      <w:pPr>
        <w:numPr>
          <w:ilvl w:val="0"/>
          <w:numId w:val="1037"/>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The third band was priced at a premium relative to the resource’s SRMC and the fourth band was offered at the market cap price.</w:t>
      </w:r>
    </w:p>
    <w:p>
      <w:pPr>
        <w:numPr>
          <w:ilvl w:val="0"/>
          <w:numId w:val="1037"/>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37"/>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279" w:name="tbl:resourceoffers"/>
      <w:bookmarkEnd w:id="279"/>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282"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280" w:name="tbl:nswcalibration"/>
      <w:bookmarkEnd w:id="280"/>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281" w:name="tbl:sacalibration"/>
      <w:bookmarkEnd w:id="281"/>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282"/>
    <w:bookmarkEnd w:id="283"/>
    <w:bookmarkEnd w:id="284"/>
    <w:bookmarkStart w:id="285" w:name="some-more-extra-stuff"/>
    <w:p>
      <w:pPr>
        <w:pStyle w:val="Heading1"/>
      </w:pPr>
      <w:r>
        <w:rPr>
          <w:rStyle w:val="SectionNumber"/>
        </w:rPr>
        <w:t xml:space="preserve">11</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285"/>
    <w:bookmarkStart w:id="286" w:name="some-more-extra-stuff-1"/>
    <w:p>
      <w:pPr>
        <w:pStyle w:val="Heading1"/>
      </w:pPr>
      <w:r>
        <w:rPr>
          <w:rStyle w:val="SectionNumber"/>
        </w:rPr>
        <w:t xml:space="preserve">12</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286"/>
    <w:bookmarkStart w:id="727" w:name="references"/>
    <w:p>
      <w:pPr>
        <w:pStyle w:val="Heading1"/>
      </w:pPr>
      <w:r>
        <w:t xml:space="preserve">References</w:t>
      </w:r>
    </w:p>
    <w:bookmarkStart w:id="726" w:name="refs"/>
    <w:bookmarkStart w:id="287"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287"/>
    <w:bookmarkStart w:id="289" w:name="X5a70db932ff4717cfbc30f6fe285191ec112a17"/>
    <w:p>
      <w:pPr>
        <w:pStyle w:val="Bibliography"/>
      </w:pPr>
      <w:r>
        <w:t xml:space="preserve">Abbasy, A., 2012.</w:t>
      </w:r>
      <w:r>
        <w:t xml:space="preserve"> </w:t>
      </w:r>
      <w:hyperlink r:id="rId288">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289"/>
    <w:bookmarkStart w:id="291"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290">
        <w:r>
          <w:rPr>
            <w:rStyle w:val="Hyperlink"/>
          </w:rPr>
          <w:t xml:space="preserve">https://doi.org/10.2139/ssrn.3302569</w:t>
        </w:r>
      </w:hyperlink>
    </w:p>
    <w:bookmarkEnd w:id="291"/>
    <w:bookmarkStart w:id="293" w:name="ref-akramEnergyStorageShortTerm2020"/>
    <w:p>
      <w:pPr>
        <w:pStyle w:val="Bibliography"/>
      </w:pPr>
      <w:r>
        <w:t xml:space="preserve">Akram, U., Mithulananthan, N., Shah, R., Basit, S.A., 2020.</w:t>
      </w:r>
      <w:r>
        <w:t xml:space="preserve"> </w:t>
      </w:r>
      <w:hyperlink r:id="rId292">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293"/>
    <w:bookmarkStart w:id="295" w:name="X77edcbed99f6f778ba79668b9dd9185179dad4a"/>
    <w:p>
      <w:pPr>
        <w:pStyle w:val="Bibliography"/>
      </w:pPr>
      <w:r>
        <w:t xml:space="preserve">ASX Energy, 2021.</w:t>
      </w:r>
      <w:r>
        <w:t xml:space="preserve"> </w:t>
      </w:r>
      <w:hyperlink r:id="rId294">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295"/>
    <w:bookmarkStart w:id="297" w:name="ref-aureconLargeScaleBatteryStorage2019"/>
    <w:p>
      <w:pPr>
        <w:pStyle w:val="Bibliography"/>
      </w:pPr>
      <w:r>
        <w:t xml:space="preserve">Aurecon, 2019.</w:t>
      </w:r>
      <w:r>
        <w:t xml:space="preserve"> </w:t>
      </w:r>
      <w:hyperlink r:id="rId296">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297"/>
    <w:bookmarkStart w:id="299" w:name="Xd02ea3f7bd4fee6de3a6c1d76c7696f271a845d"/>
    <w:p>
      <w:pPr>
        <w:pStyle w:val="Bibliography"/>
      </w:pPr>
      <w:r>
        <w:t xml:space="preserve">Aurecon Australasia, 2020.</w:t>
      </w:r>
      <w:r>
        <w:t xml:space="preserve"> </w:t>
      </w:r>
      <w:hyperlink r:id="rId298">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299"/>
    <w:bookmarkStart w:id="301" w:name="X283bd1f9c04cb560ec04fb7242924b44581eae3"/>
    <w:p>
      <w:pPr>
        <w:pStyle w:val="Bibliography"/>
      </w:pPr>
      <w:r>
        <w:t xml:space="preserve">Australian Energy Market Commission, n.d.b. Electricity supply chain [WWW Document]. URL</w:t>
      </w:r>
      <w:r>
        <w:t xml:space="preserve"> </w:t>
      </w:r>
      <w:hyperlink r:id="rId300">
        <w:r>
          <w:rPr>
            <w:rStyle w:val="Hyperlink"/>
          </w:rPr>
          <w:t xml:space="preserve">http://www.aemc.gov.au/energy-system/electricity/electricity-system/electricity-supply-chain</w:t>
        </w:r>
      </w:hyperlink>
      <w:r>
        <w:t xml:space="preserve"> </w:t>
      </w:r>
      <w:r>
        <w:t xml:space="preserve">(accessed 5.20.2022).</w:t>
      </w:r>
    </w:p>
    <w:bookmarkEnd w:id="301"/>
    <w:bookmarkStart w:id="303"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02">
        <w:r>
          <w:rPr>
            <w:rStyle w:val="Hyperlink"/>
          </w:rPr>
          <w:t xml:space="preserve">https://www.aemc.gov.au/energy-system/electricity/electricity-system/NEM</w:t>
        </w:r>
      </w:hyperlink>
      <w:r>
        <w:t xml:space="preserve"> </w:t>
      </w:r>
      <w:r>
        <w:t xml:space="preserve">(accessed 3.23.2021).</w:t>
      </w:r>
    </w:p>
    <w:bookmarkEnd w:id="303"/>
    <w:bookmarkStart w:id="305" w:name="X8acf9a26c7b13f75647e96408c7da2f2a289169"/>
    <w:p>
      <w:pPr>
        <w:pStyle w:val="Bibliography"/>
      </w:pPr>
      <w:r>
        <w:t xml:space="preserve">Australian Energy Market Commission, 2022.</w:t>
      </w:r>
      <w:r>
        <w:t xml:space="preserve"> </w:t>
      </w:r>
      <w:hyperlink r:id="rId304">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05"/>
    <w:bookmarkStart w:id="306"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306"/>
    <w:bookmarkStart w:id="307"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307"/>
    <w:bookmarkStart w:id="309" w:name="X4e15fbfc9c73a2296d46b736a9c7d1a5654655e"/>
    <w:p>
      <w:pPr>
        <w:pStyle w:val="Bibliography"/>
      </w:pPr>
      <w:r>
        <w:t xml:space="preserve">Australian Energy Market Commission, 2021c.</w:t>
      </w:r>
      <w:r>
        <w:t xml:space="preserve"> </w:t>
      </w:r>
      <w:hyperlink r:id="rId308">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309"/>
    <w:bookmarkStart w:id="311"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310">
        <w:r>
          <w:rPr>
            <w:rStyle w:val="Hyperlink"/>
          </w:rPr>
          <w:t xml:space="preserve">https://www.aemc.gov.au/news-centre/data-portal/annual-market-performance-review/2020</w:t>
        </w:r>
      </w:hyperlink>
      <w:r>
        <w:t xml:space="preserve"> </w:t>
      </w:r>
      <w:r>
        <w:t xml:space="preserve">(accessed 10.27.2021).</w:t>
      </w:r>
    </w:p>
    <w:bookmarkEnd w:id="311"/>
    <w:bookmarkStart w:id="312" w:name="X55ac5d59022fb8fc127e5e4f8e1b2f3c3feff8c"/>
    <w:p>
      <w:pPr>
        <w:pStyle w:val="Bibliography"/>
      </w:pPr>
      <w:r>
        <w:t xml:space="preserve">Australian Energy Market Commission, 2020c. Frequency control rule changes.</w:t>
      </w:r>
    </w:p>
    <w:bookmarkEnd w:id="312"/>
    <w:bookmarkStart w:id="313"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313"/>
    <w:bookmarkStart w:id="315" w:name="Xd4142d84741b5aa209fba18468ec215bc2183cf"/>
    <w:p>
      <w:pPr>
        <w:pStyle w:val="Bibliography"/>
      </w:pPr>
      <w:r>
        <w:t xml:space="preserve">Australian Energy Market Commission, 2020d.</w:t>
      </w:r>
      <w:r>
        <w:t xml:space="preserve"> </w:t>
      </w:r>
      <w:hyperlink r:id="rId314">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15"/>
    <w:bookmarkStart w:id="316"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316"/>
    <w:bookmarkStart w:id="317"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317"/>
    <w:bookmarkStart w:id="319" w:name="Xb3436a2eee6cc81ec2eed9434eec7793f348374"/>
    <w:p>
      <w:pPr>
        <w:pStyle w:val="Bibliography"/>
      </w:pPr>
      <w:r>
        <w:t xml:space="preserve">Australian Energy Market Commission, 2017.</w:t>
      </w:r>
      <w:r>
        <w:t xml:space="preserve"> </w:t>
      </w:r>
      <w:hyperlink r:id="rId318">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319"/>
    <w:bookmarkStart w:id="321" w:name="X122c867e6dde1f00e4486b24c752821f4d73d2a"/>
    <w:p>
      <w:pPr>
        <w:pStyle w:val="Bibliography"/>
      </w:pPr>
      <w:r>
        <w:t xml:space="preserve">Australian Energy Market Commission, 2016.</w:t>
      </w:r>
      <w:r>
        <w:t xml:space="preserve"> </w:t>
      </w:r>
      <w:hyperlink r:id="rId320">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321"/>
    <w:bookmarkStart w:id="323" w:name="Xe8c300eeae062e2ed8ee4727d274c4396c5dbff"/>
    <w:p>
      <w:pPr>
        <w:pStyle w:val="Bibliography"/>
      </w:pPr>
      <w:r>
        <w:t xml:space="preserve">Australian Energy Market Commission, 2015.</w:t>
      </w:r>
      <w:r>
        <w:t xml:space="preserve"> </w:t>
      </w:r>
      <w:hyperlink r:id="rId322">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323"/>
    <w:bookmarkStart w:id="325" w:name="X69b6505f7439c279a132e5425c5d610e080361d"/>
    <w:p>
      <w:pPr>
        <w:pStyle w:val="Bibliography"/>
      </w:pPr>
      <w:r>
        <w:t xml:space="preserve">Australian Energy Market Commission Reliability Panel, 2022.</w:t>
      </w:r>
      <w:r>
        <w:t xml:space="preserve"> </w:t>
      </w:r>
      <w:hyperlink r:id="rId324">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325"/>
    <w:bookmarkStart w:id="327" w:name="Xfeb2de1ac1725393bea77ea1338cf7492788c4f"/>
    <w:p>
      <w:pPr>
        <w:pStyle w:val="Bibliography"/>
      </w:pPr>
      <w:r>
        <w:t xml:space="preserve">Australian Energy Market Commission Reliability Panel, 2020.</w:t>
      </w:r>
      <w:r>
        <w:t xml:space="preserve"> </w:t>
      </w:r>
      <w:hyperlink r:id="rId326">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327"/>
    <w:bookmarkStart w:id="328"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328"/>
    <w:bookmarkStart w:id="330" w:name="Xc217b8abd9a98bd90a8ef2d1cb9dc2560b3200f"/>
    <w:p>
      <w:pPr>
        <w:pStyle w:val="Bibliography"/>
      </w:pPr>
      <w:r>
        <w:t xml:space="preserve">Australian Energy Market Operator, n.d. Pre dispatch [WWW Document]. URL</w:t>
      </w:r>
      <w:r>
        <w:t xml:space="preserve"> </w:t>
      </w:r>
      <w:hyperlink r:id="rId329">
        <w:r>
          <w:rPr>
            <w:rStyle w:val="Hyperlink"/>
          </w:rPr>
          <w:t xml:space="preserve">https://aemo.com.au/energy-systems/electricity/national-electricity-market-nem/data-nem/market-management-system-mms-data/pre-dispatch</w:t>
        </w:r>
      </w:hyperlink>
      <w:r>
        <w:t xml:space="preserve"> </w:t>
      </w:r>
      <w:r>
        <w:t xml:space="preserve">(accessed 5.24.2022).</w:t>
      </w:r>
    </w:p>
    <w:bookmarkEnd w:id="330"/>
    <w:bookmarkStart w:id="332" w:name="Xd5517a5b21f55ef4d6be4f7cb132ac0de4944a7"/>
    <w:p>
      <w:pPr>
        <w:pStyle w:val="Bibliography"/>
      </w:pPr>
      <w:r>
        <w:t xml:space="preserve">Australian Energy Market Operator, 2023. Industry overview [WWW Document]. URL</w:t>
      </w:r>
      <w:r>
        <w:t xml:space="preserve"> </w:t>
      </w:r>
      <w:hyperlink r:id="rId331">
        <w:r>
          <w:rPr>
            <w:rStyle w:val="Hyperlink"/>
          </w:rPr>
          <w:t xml:space="preserve">https://aemo.com.au/learn/energy-explained/energy-101/industry-overview</w:t>
        </w:r>
      </w:hyperlink>
      <w:r>
        <w:t xml:space="preserve"> </w:t>
      </w:r>
      <w:r>
        <w:t xml:space="preserve">(accessed 10.25.2023).</w:t>
      </w:r>
    </w:p>
    <w:bookmarkEnd w:id="332"/>
    <w:bookmarkStart w:id="334" w:name="X9f14554c9fbab180f0895f001a9e72329973dfa"/>
    <w:p>
      <w:pPr>
        <w:pStyle w:val="Bibliography"/>
      </w:pPr>
      <w:r>
        <w:t xml:space="preserve">Australian Energy Market Operator, 2022c.</w:t>
      </w:r>
      <w:r>
        <w:t xml:space="preserve"> </w:t>
      </w:r>
      <w:hyperlink r:id="rId333">
        <w:r>
          <w:rPr>
            <w:rStyle w:val="Hyperlink"/>
          </w:rPr>
          <w:t xml:space="preserve">2022</w:t>
        </w:r>
        <w:r>
          <w:rPr>
            <w:rStyle w:val="Hyperlink"/>
          </w:rPr>
          <w:t xml:space="preserve"> </w:t>
        </w:r>
        <w:r>
          <w:rPr>
            <w:rStyle w:val="Hyperlink"/>
          </w:rPr>
          <w:t xml:space="preserve">Integrated System Plan</w:t>
        </w:r>
      </w:hyperlink>
      <w:r>
        <w:t xml:space="preserve">.</w:t>
      </w:r>
    </w:p>
    <w:bookmarkEnd w:id="334"/>
    <w:bookmarkStart w:id="336"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335">
        <w:r>
          <w:rPr>
            <w:rStyle w:val="Hyperlink"/>
          </w:rPr>
          <w:t xml:space="preserve">https://aemo.com.au/initiatives/major-programs/past-major-programs/five-minute-settlement/5ms-program-management/5ms-commencement</w:t>
        </w:r>
      </w:hyperlink>
      <w:r>
        <w:t xml:space="preserve"> </w:t>
      </w:r>
      <w:r>
        <w:t xml:space="preserve">(accessed 5.23.2022).</w:t>
      </w:r>
    </w:p>
    <w:bookmarkEnd w:id="336"/>
    <w:bookmarkStart w:id="338" w:name="X89e1d13a06c4fc4983081ee3d5bd31282b28c9b"/>
    <w:p>
      <w:pPr>
        <w:pStyle w:val="Bibliography"/>
      </w:pPr>
      <w:r>
        <w:t xml:space="preserve">Australian Energy Market Operator, 2022a. Generation information [WWW Document]. URL</w:t>
      </w:r>
      <w:r>
        <w:t xml:space="preserve"> </w:t>
      </w:r>
      <w:hyperlink r:id="rId337">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338"/>
    <w:bookmarkStart w:id="340" w:name="X198fdb16c8fc7a35b09e2bd06fa55d9778dea13"/>
    <w:p>
      <w:pPr>
        <w:pStyle w:val="Bibliography"/>
      </w:pPr>
      <w:r>
        <w:t xml:space="preserve">Australian Energy Market Operator, 2022d.</w:t>
      </w:r>
      <w:r>
        <w:t xml:space="preserve"> </w:t>
      </w:r>
      <w:hyperlink r:id="rId339">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340"/>
    <w:bookmarkStart w:id="342" w:name="X2be6cc22a49955f8f33216e2ee7e30f4d5251f3"/>
    <w:p>
      <w:pPr>
        <w:pStyle w:val="Bibliography"/>
      </w:pPr>
      <w:r>
        <w:t xml:space="preserve">Australian Energy Market Operator, 2022e.</w:t>
      </w:r>
      <w:r>
        <w:t xml:space="preserve"> </w:t>
      </w:r>
      <w:hyperlink r:id="rId341">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342"/>
    <w:bookmarkStart w:id="343"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343"/>
    <w:bookmarkStart w:id="344"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344"/>
    <w:bookmarkStart w:id="346" w:name="X3f3bf6f6062ae28ac207f19cca41ed92cbea4fc"/>
    <w:p>
      <w:pPr>
        <w:pStyle w:val="Bibliography"/>
      </w:pPr>
      <w:r>
        <w:t xml:space="preserve">Australian Energy Market Operator, 2021f.</w:t>
      </w:r>
      <w:r>
        <w:t xml:space="preserve"> </w:t>
      </w:r>
      <w:hyperlink r:id="rId345">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346"/>
    <w:bookmarkStart w:id="347"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347"/>
    <w:bookmarkStart w:id="348"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348"/>
    <w:bookmarkStart w:id="349"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349"/>
    <w:bookmarkStart w:id="351" w:name="X5b5be612faa4540a649c1fcf2dc213ae48fcd46"/>
    <w:p>
      <w:pPr>
        <w:pStyle w:val="Bibliography"/>
      </w:pPr>
      <w:r>
        <w:t xml:space="preserve">Australian Energy Market Operator, 2021q.</w:t>
      </w:r>
      <w:r>
        <w:t xml:space="preserve"> </w:t>
      </w:r>
      <w:hyperlink r:id="rId350">
        <w:r>
          <w:rPr>
            <w:rStyle w:val="Hyperlink"/>
          </w:rPr>
          <w:t xml:space="preserve">Fast-</w:t>
        </w:r>
        <w:r>
          <w:rPr>
            <w:rStyle w:val="Hyperlink"/>
          </w:rPr>
          <w:t xml:space="preserve">Start Inflexibility Profile</w:t>
        </w:r>
      </w:hyperlink>
      <w:r>
        <w:t xml:space="preserve">.</w:t>
      </w:r>
    </w:p>
    <w:bookmarkEnd w:id="351"/>
    <w:bookmarkStart w:id="352"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352"/>
    <w:bookmarkStart w:id="353"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353"/>
    <w:bookmarkStart w:id="354"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354"/>
    <w:bookmarkStart w:id="356" w:name="Xc80a4ce6e97b6d6e54021b39f96d3cb38ebe560"/>
    <w:p>
      <w:pPr>
        <w:pStyle w:val="Bibliography"/>
      </w:pPr>
      <w:r>
        <w:t xml:space="preserve">Australian Energy Market Operator, 2021l.</w:t>
      </w:r>
      <w:r>
        <w:t xml:space="preserve"> </w:t>
      </w:r>
      <w:hyperlink r:id="rId355">
        <w:r>
          <w:rPr>
            <w:rStyle w:val="Hyperlink"/>
          </w:rPr>
          <w:t xml:space="preserve">Operating the grid with high roof-top solar generation</w:t>
        </w:r>
      </w:hyperlink>
      <w:r>
        <w:t xml:space="preserve">.</w:t>
      </w:r>
    </w:p>
    <w:bookmarkEnd w:id="356"/>
    <w:bookmarkStart w:id="358" w:name="X138fae50e25c01b7409075b0a50e9911ea1d9a1"/>
    <w:p>
      <w:pPr>
        <w:pStyle w:val="Bibliography"/>
      </w:pPr>
      <w:r>
        <w:t xml:space="preserve">Australian Energy Market Operator, 2021k.</w:t>
      </w:r>
      <w:r>
        <w:t xml:space="preserve"> </w:t>
      </w:r>
      <w:hyperlink r:id="rId357">
        <w:r>
          <w:rPr>
            <w:rStyle w:val="Hyperlink"/>
          </w:rPr>
          <w:t xml:space="preserve">Pre-dispatch operating procedure</w:t>
        </w:r>
      </w:hyperlink>
      <w:r>
        <w:t xml:space="preserve">.</w:t>
      </w:r>
    </w:p>
    <w:bookmarkEnd w:id="358"/>
    <w:bookmarkStart w:id="360" w:name="X0602c29f6776959539c049d0a18ec3c3d6c7a73"/>
    <w:p>
      <w:pPr>
        <w:pStyle w:val="Bibliography"/>
      </w:pPr>
      <w:r>
        <w:t xml:space="preserve">Australian Energy Market Operator, 2021m.</w:t>
      </w:r>
      <w:r>
        <w:t xml:space="preserve"> </w:t>
      </w:r>
      <w:hyperlink r:id="rId359">
        <w:r>
          <w:rPr>
            <w:rStyle w:val="Hyperlink"/>
          </w:rPr>
          <w:t xml:space="preserve">Pre-</w:t>
        </w:r>
        <w:r>
          <w:rPr>
            <w:rStyle w:val="Hyperlink"/>
          </w:rPr>
          <w:t xml:space="preserve">Dispatch Sensitivities</w:t>
        </w:r>
      </w:hyperlink>
      <w:r>
        <w:t xml:space="preserve">.</w:t>
      </w:r>
    </w:p>
    <w:bookmarkEnd w:id="360"/>
    <w:bookmarkStart w:id="361"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361"/>
    <w:bookmarkStart w:id="362"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362"/>
    <w:bookmarkStart w:id="364" w:name="X25d6c8931f34b0888aef1a4b1f37d38df3544a3"/>
    <w:p>
      <w:pPr>
        <w:pStyle w:val="Bibliography"/>
      </w:pPr>
      <w:r>
        <w:t xml:space="preserve">Australian Energy Market Operator, 2021n.</w:t>
      </w:r>
      <w:r>
        <w:t xml:space="preserve"> </w:t>
      </w:r>
      <w:hyperlink r:id="rId363">
        <w:r>
          <w:rPr>
            <w:rStyle w:val="Hyperlink"/>
          </w:rPr>
          <w:t xml:space="preserve">Short</w:t>
        </w:r>
        <w:r>
          <w:rPr>
            <w:rStyle w:val="Hyperlink"/>
          </w:rPr>
          <w:t xml:space="preserve"> </w:t>
        </w:r>
        <w:r>
          <w:rPr>
            <w:rStyle w:val="Hyperlink"/>
          </w:rPr>
          <w:t xml:space="preserve">Term Reserve Management</w:t>
        </w:r>
      </w:hyperlink>
      <w:r>
        <w:t xml:space="preserve">.</w:t>
      </w:r>
    </w:p>
    <w:bookmarkEnd w:id="364"/>
    <w:bookmarkStart w:id="365"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365"/>
    <w:bookmarkStart w:id="367" w:name="X42f043549b7193d693ae6e1802f73c9d642ba94"/>
    <w:p>
      <w:pPr>
        <w:pStyle w:val="Bibliography"/>
      </w:pPr>
      <w:r>
        <w:t xml:space="preserve">Australian Energy Market Operator, 2020a.</w:t>
      </w:r>
      <w:r>
        <w:t xml:space="preserve"> </w:t>
      </w:r>
      <w:hyperlink r:id="rId366">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367"/>
    <w:bookmarkStart w:id="369" w:name="X0e5a15395ae87400b0bd32f617ab7fb54b9a292"/>
    <w:p>
      <w:pPr>
        <w:pStyle w:val="Bibliography"/>
      </w:pPr>
      <w:r>
        <w:t xml:space="preserve">Australian Energy Market Operator, 2020f.</w:t>
      </w:r>
      <w:r>
        <w:t xml:space="preserve"> </w:t>
      </w:r>
      <w:hyperlink r:id="rId368">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369"/>
    <w:bookmarkStart w:id="371" w:name="X0be2f5c022c6778c7c7f47026236c7b27614cd9"/>
    <w:p>
      <w:pPr>
        <w:pStyle w:val="Bibliography"/>
      </w:pPr>
      <w:r>
        <w:t xml:space="preserve">Australian Energy Market Operator, 2020b.</w:t>
      </w:r>
      <w:r>
        <w:t xml:space="preserve"> </w:t>
      </w:r>
      <w:hyperlink r:id="rId370">
        <w:r>
          <w:rPr>
            <w:rStyle w:val="Hyperlink"/>
          </w:rPr>
          <w:t xml:space="preserve">2020</w:t>
        </w:r>
        <w:r>
          <w:rPr>
            <w:rStyle w:val="Hyperlink"/>
          </w:rPr>
          <w:t xml:space="preserve"> </w:t>
        </w:r>
        <w:r>
          <w:rPr>
            <w:rStyle w:val="Hyperlink"/>
          </w:rPr>
          <w:t xml:space="preserve">ISP Generation Outlook</w:t>
        </w:r>
      </w:hyperlink>
      <w:r>
        <w:t xml:space="preserve">.</w:t>
      </w:r>
    </w:p>
    <w:bookmarkEnd w:id="371"/>
    <w:bookmarkStart w:id="372" w:name="X6dbca71f20d6dea6ee0577c224e81d3864bbcbe"/>
    <w:p>
      <w:pPr>
        <w:pStyle w:val="Bibliography"/>
      </w:pPr>
      <w:r>
        <w:t xml:space="preserve">Australian Energy Market Operator, 2020p.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368">
        <w:r>
          <w:rPr>
            <w:rStyle w:val="Hyperlink"/>
          </w:rPr>
          <w:t xml:space="preserve">https://aemo.com.au/energy-systems/major-publications/integrated-system-plan-isp/2020-integrated-system-plan-isp</w:t>
        </w:r>
      </w:hyperlink>
    </w:p>
    <w:bookmarkEnd w:id="372"/>
    <w:bookmarkStart w:id="374" w:name="X65c327332b0f72f124cbb058ff6ac08f30604c6"/>
    <w:p>
      <w:pPr>
        <w:pStyle w:val="Bibliography"/>
      </w:pPr>
      <w:r>
        <w:t xml:space="preserve">Australian Energy Market Operator, 2020o.</w:t>
      </w:r>
      <w:r>
        <w:t xml:space="preserve"> </w:t>
      </w:r>
      <w:hyperlink r:id="rId373">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374"/>
    <w:bookmarkStart w:id="375" w:name="X53f76bdd056d9eea02eec09df53cfa79f28c5b7"/>
    <w:p>
      <w:pPr>
        <w:pStyle w:val="Bibliography"/>
      </w:pPr>
      <w:r>
        <w:t xml:space="preserve">Australian Energy Market Operator, 2020k. Interim</w:t>
      </w:r>
      <w:r>
        <w:t xml:space="preserve"> </w:t>
      </w:r>
      <w:r>
        <w:t xml:space="preserve">Primary Frequency Response Requirements</w:t>
      </w:r>
      <w:r>
        <w:t xml:space="preserve">.</w:t>
      </w:r>
    </w:p>
    <w:bookmarkEnd w:id="375"/>
    <w:bookmarkStart w:id="376" w:name="X25d4e8862632231c092922d0533da768306b12c"/>
    <w:p>
      <w:pPr>
        <w:pStyle w:val="Bibliography"/>
      </w:pPr>
      <w:r>
        <w:t xml:space="preserve">Australian Energy Market Operator, 2020g. Market ancillary service specification.</w:t>
      </w:r>
    </w:p>
    <w:bookmarkEnd w:id="376"/>
    <w:bookmarkStart w:id="377" w:name="Xfc619ad5e2a1dfeb5693209aca0f75fa447feeb"/>
    <w:p>
      <w:pPr>
        <w:pStyle w:val="Bibliography"/>
      </w:pPr>
      <w:r>
        <w:t xml:space="preserve">Australian Energy Market Operator, 2020i.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377"/>
    <w:bookmarkStart w:id="378" w:name="X93982e7f1c88923160c0a3117b808f0a1c28969"/>
    <w:p>
      <w:pPr>
        <w:pStyle w:val="Bibliography"/>
      </w:pPr>
      <w:r>
        <w:t xml:space="preserve">Australian Energy Market Operator, 2020e. Power</w:t>
      </w:r>
      <w:r>
        <w:t xml:space="preserve"> </w:t>
      </w:r>
      <w:r>
        <w:t xml:space="preserve">System Requirements</w:t>
      </w:r>
      <w:r>
        <w:t xml:space="preserve">.</w:t>
      </w:r>
    </w:p>
    <w:bookmarkEnd w:id="378"/>
    <w:bookmarkStart w:id="379" w:name="X2713d682f460f54a036fc743e7e0c8571400df5"/>
    <w:p>
      <w:pPr>
        <w:pStyle w:val="Bibliography"/>
      </w:pPr>
      <w:r>
        <w:t xml:space="preserve">Australian Energy Market Operator, 2020l. Quarterly</w:t>
      </w:r>
      <w:r>
        <w:t xml:space="preserve"> </w:t>
      </w:r>
      <w:r>
        <w:t xml:space="preserve">Energy Dynamics Q1</w:t>
      </w:r>
      <w:r>
        <w:t xml:space="preserve"> </w:t>
      </w:r>
      <w:r>
        <w:t xml:space="preserve">2020.</w:t>
      </w:r>
    </w:p>
    <w:bookmarkEnd w:id="379"/>
    <w:bookmarkStart w:id="381" w:name="X32f514c2fd5da416d4352e544a7bc9b85a2b767"/>
    <w:p>
      <w:pPr>
        <w:pStyle w:val="Bibliography"/>
      </w:pPr>
      <w:r>
        <w:t xml:space="preserve">Australian Energy Market Operator, 2020n.</w:t>
      </w:r>
      <w:r>
        <w:t xml:space="preserve"> </w:t>
      </w:r>
      <w:hyperlink r:id="rId380">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381"/>
    <w:bookmarkStart w:id="382" w:name="X2cabe126713e4162a0fb000c86d68d3e3e288c6"/>
    <w:p>
      <w:pPr>
        <w:pStyle w:val="Bibliography"/>
      </w:pPr>
      <w:r>
        <w:t xml:space="preserve">Australian Energy Market Operator, 2020c.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382"/>
    <w:bookmarkStart w:id="383" w:name="X0e03840bb3a8964157d0fa5fb491ec9540cd333"/>
    <w:p>
      <w:pPr>
        <w:pStyle w:val="Bibliography"/>
      </w:pPr>
      <w:r>
        <w:t xml:space="preserve">Australian Energy Market Operator, 2020j.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383"/>
    <w:bookmarkStart w:id="384" w:name="X1e56b8dc9deabe582649f9930346b434910d2bf"/>
    <w:p>
      <w:pPr>
        <w:pStyle w:val="Bibliography"/>
      </w:pPr>
      <w:r>
        <w:t xml:space="preserve">Australian Energy Market Operator, 2020d.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384"/>
    <w:bookmarkStart w:id="385" w:name="X72c0b4894adba6fe5116b27ff4793a7b2f6bd43"/>
    <w:p>
      <w:pPr>
        <w:pStyle w:val="Bibliography"/>
      </w:pPr>
      <w:r>
        <w:t xml:space="preserve">Australian Energy Market Operator, 2020h. System strength in the</w:t>
      </w:r>
      <w:r>
        <w:t xml:space="preserve"> </w:t>
      </w:r>
      <w:r>
        <w:t xml:space="preserve">NEM</w:t>
      </w:r>
      <w:r>
        <w:t xml:space="preserve"> </w:t>
      </w:r>
      <w:r>
        <w:t xml:space="preserve">explained.</w:t>
      </w:r>
    </w:p>
    <w:bookmarkEnd w:id="385"/>
    <w:bookmarkStart w:id="387" w:name="X3f3a611a4aac621679da42392957269bd79b28f"/>
    <w:p>
      <w:pPr>
        <w:pStyle w:val="Bibliography"/>
      </w:pPr>
      <w:r>
        <w:t xml:space="preserve">Australian Energy Market Operator, 2020m.</w:t>
      </w:r>
      <w:r>
        <w:t xml:space="preserve"> </w:t>
      </w:r>
      <w:hyperlink r:id="rId386">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387"/>
    <w:bookmarkStart w:id="389"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388">
        <w:r>
          <w:rPr>
            <w:rStyle w:val="Hyperlink"/>
          </w:rPr>
          <w:t xml:space="preserve">https://aemo.com.au/energy-systems/major-publications/integrated-system-plan-isp/2020-integrated-system-plan-isp/2019-isp-database</w:t>
        </w:r>
      </w:hyperlink>
    </w:p>
    <w:bookmarkEnd w:id="389"/>
    <w:bookmarkStart w:id="390"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388">
        <w:r>
          <w:rPr>
            <w:rStyle w:val="Hyperlink"/>
          </w:rPr>
          <w:t xml:space="preserve">https://aemo.com.au/energy-systems/major-publications/integrated-system-plan-isp/2020-integrated-system-plan-isp/2019-isp-database</w:t>
        </w:r>
      </w:hyperlink>
    </w:p>
    <w:bookmarkEnd w:id="390"/>
    <w:bookmarkStart w:id="391"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391"/>
    <w:bookmarkStart w:id="392"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392"/>
    <w:bookmarkStart w:id="393"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393"/>
    <w:bookmarkStart w:id="394"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394"/>
    <w:bookmarkStart w:id="395"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395"/>
    <w:bookmarkStart w:id="397" w:name="X4987a8262f6f92063ffda336c2631f4f0954a6a"/>
    <w:p>
      <w:pPr>
        <w:pStyle w:val="Bibliography"/>
      </w:pPr>
      <w:r>
        <w:t xml:space="preserve">Australian Energy Market Operator, 2018a.</w:t>
      </w:r>
      <w:r>
        <w:t xml:space="preserve"> </w:t>
      </w:r>
      <w:hyperlink r:id="rId396">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397"/>
    <w:bookmarkStart w:id="398"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398"/>
    <w:bookmarkStart w:id="399" w:name="X677accbfeb336ffeb381645c930e4110a8b0447"/>
    <w:p>
      <w:pPr>
        <w:pStyle w:val="Bibliography"/>
      </w:pPr>
      <w:r>
        <w:t xml:space="preserve">Australian Energy Market Operator, 2018c. Inertia requirements methodology: Inertia requirements &amp; shortfalls.</w:t>
      </w:r>
    </w:p>
    <w:bookmarkEnd w:id="399"/>
    <w:bookmarkStart w:id="400"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400"/>
    <w:bookmarkStart w:id="401"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401"/>
    <w:bookmarkStart w:id="403" w:name="X5c182828f385588cc99aab2cf38eca38b2183a4"/>
    <w:p>
      <w:pPr>
        <w:pStyle w:val="Bibliography"/>
      </w:pPr>
      <w:r>
        <w:t xml:space="preserve">Australian Energy Market Operator, 2018g.</w:t>
      </w:r>
      <w:r>
        <w:t xml:space="preserve"> </w:t>
      </w:r>
      <w:hyperlink r:id="rId402">
        <w:r>
          <w:rPr>
            <w:rStyle w:val="Hyperlink"/>
          </w:rPr>
          <w:t xml:space="preserve">Reserve</w:t>
        </w:r>
        <w:r>
          <w:rPr>
            <w:rStyle w:val="Hyperlink"/>
          </w:rPr>
          <w:t xml:space="preserve"> </w:t>
        </w:r>
        <w:r>
          <w:rPr>
            <w:rStyle w:val="Hyperlink"/>
          </w:rPr>
          <w:t xml:space="preserve">Level Declaration Guidelines</w:t>
        </w:r>
      </w:hyperlink>
      <w:r>
        <w:t xml:space="preserve">.</w:t>
      </w:r>
    </w:p>
    <w:bookmarkEnd w:id="403"/>
    <w:bookmarkStart w:id="404"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404"/>
    <w:bookmarkStart w:id="405"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405"/>
    <w:bookmarkStart w:id="406"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406"/>
    <w:bookmarkStart w:id="407"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407"/>
    <w:bookmarkStart w:id="408"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408"/>
    <w:bookmarkStart w:id="409"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409"/>
    <w:bookmarkStart w:id="410"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410"/>
    <w:bookmarkStart w:id="412" w:name="X3d4c8dbacd98ce489f3f9224cc3851ddc516c4d"/>
    <w:p>
      <w:pPr>
        <w:pStyle w:val="Bibliography"/>
      </w:pPr>
      <w:r>
        <w:t xml:space="preserve">Australian Energy Market Operator, 2012.</w:t>
      </w:r>
      <w:r>
        <w:t xml:space="preserve"> </w:t>
      </w:r>
      <w:hyperlink r:id="rId411">
        <w:r>
          <w:rPr>
            <w:rStyle w:val="Hyperlink"/>
          </w:rPr>
          <w:t xml:space="preserve">Short</w:t>
        </w:r>
        <w:r>
          <w:rPr>
            <w:rStyle w:val="Hyperlink"/>
          </w:rPr>
          <w:t xml:space="preserve"> </w:t>
        </w:r>
        <w:r>
          <w:rPr>
            <w:rStyle w:val="Hyperlink"/>
          </w:rPr>
          <w:t xml:space="preserve">Term PASA Process Description</w:t>
        </w:r>
      </w:hyperlink>
      <w:r>
        <w:t xml:space="preserve">.</w:t>
      </w:r>
    </w:p>
    <w:bookmarkEnd w:id="412"/>
    <w:bookmarkStart w:id="413"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413"/>
    <w:bookmarkStart w:id="415" w:name="Xc186a249c6fb8f47c02edfd5d5d5296888aef42"/>
    <w:p>
      <w:pPr>
        <w:pStyle w:val="Bibliography"/>
      </w:pPr>
      <w:r>
        <w:t xml:space="preserve">Australian Energy Regulator, 2022.</w:t>
      </w:r>
      <w:r>
        <w:t xml:space="preserve"> </w:t>
      </w:r>
      <w:hyperlink r:id="rId414">
        <w:r>
          <w:rPr>
            <w:rStyle w:val="Hyperlink"/>
          </w:rPr>
          <w:t xml:space="preserve">State of the energy market 2022</w:t>
        </w:r>
      </w:hyperlink>
      <w:r>
        <w:t xml:space="preserve">.</w:t>
      </w:r>
    </w:p>
    <w:bookmarkEnd w:id="415"/>
    <w:bookmarkStart w:id="416"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416"/>
    <w:bookmarkStart w:id="417"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417"/>
    <w:bookmarkStart w:id="419" w:name="X64112f62afbcd7ff6be2cba0000e3dcd5442845"/>
    <w:p>
      <w:pPr>
        <w:pStyle w:val="Bibliography"/>
      </w:pPr>
      <w:r>
        <w:t xml:space="preserve">Australian Energy Regulator, 2019.</w:t>
      </w:r>
      <w:r>
        <w:t xml:space="preserve"> </w:t>
      </w:r>
      <w:hyperlink r:id="rId418">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419"/>
    <w:bookmarkStart w:id="421"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420">
        <w:r>
          <w:rPr>
            <w:rStyle w:val="Hyperlink"/>
          </w:rPr>
          <w:t xml:space="preserve">https://pv-map.apvi.org.au</w:t>
        </w:r>
      </w:hyperlink>
      <w:r>
        <w:t xml:space="preserve"> </w:t>
      </w:r>
      <w:r>
        <w:t xml:space="preserve">(accessed 5.23.2022).</w:t>
      </w:r>
    </w:p>
    <w:bookmarkEnd w:id="421"/>
    <w:bookmarkStart w:id="423"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422">
        <w:r>
          <w:rPr>
            <w:rStyle w:val="Hyperlink"/>
          </w:rPr>
          <w:t xml:space="preserve">https://doi.org/10.1002/9780470754245</w:t>
        </w:r>
      </w:hyperlink>
    </w:p>
    <w:bookmarkEnd w:id="423"/>
    <w:bookmarkStart w:id="425"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424">
        <w:r>
          <w:rPr>
            <w:rStyle w:val="Hyperlink"/>
          </w:rPr>
          <w:t xml:space="preserve">https://doi.org/10.1016/j.rser.2018.03.085</w:t>
        </w:r>
      </w:hyperlink>
    </w:p>
    <w:bookmarkEnd w:id="425"/>
    <w:bookmarkStart w:id="427"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426">
        <w:r>
          <w:rPr>
            <w:rStyle w:val="Hyperlink"/>
          </w:rPr>
          <w:t xml:space="preserve">https://doi.org/10.1109/TPWRS.2019.2925557</w:t>
        </w:r>
      </w:hyperlink>
    </w:p>
    <w:bookmarkEnd w:id="427"/>
    <w:bookmarkStart w:id="429"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428">
        <w:r>
          <w:rPr>
            <w:rStyle w:val="Hyperlink"/>
          </w:rPr>
          <w:t xml:space="preserve">https://doi.org/10.26889/9781784671600</w:t>
        </w:r>
      </w:hyperlink>
    </w:p>
    <w:bookmarkEnd w:id="429"/>
    <w:bookmarkStart w:id="431" w:name="Xf689e29b801ef3c74433124fb57662ea6c893fe"/>
    <w:p>
      <w:pPr>
        <w:pStyle w:val="Bibliography"/>
      </w:pPr>
      <w:r>
        <w:t xml:space="preserve">Borenstein, S., Bushnell, J., Mansur, E., 2023.</w:t>
      </w:r>
      <w:r>
        <w:t xml:space="preserve"> </w:t>
      </w:r>
      <w:hyperlink r:id="rId430">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431"/>
    <w:bookmarkStart w:id="433"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432">
        <w:r>
          <w:rPr>
            <w:rStyle w:val="Hyperlink"/>
          </w:rPr>
          <w:t xml:space="preserve">https://doi.org/10.1016/j.tej.2019.106668</w:t>
        </w:r>
      </w:hyperlink>
    </w:p>
    <w:bookmarkEnd w:id="433"/>
    <w:bookmarkStart w:id="434"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434"/>
    <w:bookmarkStart w:id="436" w:name="ref-cherevatskiyGridFormingEnergy2020"/>
    <w:p>
      <w:pPr>
        <w:pStyle w:val="Bibliography"/>
      </w:pPr>
      <w:r>
        <w:t xml:space="preserve">Cherevatskiy, S., Sproul, S., Zabihi, S., Korte, R., Klingenberg, H., Buchholz, B., Oudalov, A., 2020.</w:t>
      </w:r>
      <w:r>
        <w:t xml:space="preserve"> </w:t>
      </w:r>
      <w:hyperlink r:id="rId435">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436"/>
    <w:bookmarkStart w:id="438"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437">
        <w:r>
          <w:rPr>
            <w:rStyle w:val="Hyperlink"/>
          </w:rPr>
          <w:t xml:space="preserve">https://doi.org/10.1109/jproc.2005.857493</w:t>
        </w:r>
      </w:hyperlink>
    </w:p>
    <w:bookmarkEnd w:id="438"/>
    <w:bookmarkStart w:id="439"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439"/>
    <w:bookmarkStart w:id="441"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440">
        <w:r>
          <w:rPr>
            <w:rStyle w:val="Hyperlink"/>
          </w:rPr>
          <w:t xml:space="preserve">https://doi.org/10.1109/TPWRS.2022.3163106</w:t>
        </w:r>
      </w:hyperlink>
    </w:p>
    <w:bookmarkEnd w:id="441"/>
    <w:bookmarkStart w:id="443" w:name="ref-cramtonElectricityMarketDesign2017"/>
    <w:p>
      <w:pPr>
        <w:pStyle w:val="Bibliography"/>
      </w:pPr>
      <w:r>
        <w:t xml:space="preserve">Cramton, P., 2017. Electricity market design. Oxford Review of Economic Policy 33, 589–612.</w:t>
      </w:r>
      <w:r>
        <w:t xml:space="preserve"> </w:t>
      </w:r>
      <w:hyperlink r:id="rId442">
        <w:r>
          <w:rPr>
            <w:rStyle w:val="Hyperlink"/>
          </w:rPr>
          <w:t xml:space="preserve">https://doi.org/10.1093/oxrep/grx041</w:t>
        </w:r>
      </w:hyperlink>
    </w:p>
    <w:bookmarkEnd w:id="443"/>
    <w:bookmarkStart w:id="445"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444">
        <w:r>
          <w:rPr>
            <w:rStyle w:val="Hyperlink"/>
          </w:rPr>
          <w:t xml:space="preserve">https://doi.org/10.1016/j.seta.2021.101286</w:t>
        </w:r>
      </w:hyperlink>
    </w:p>
    <w:bookmarkEnd w:id="445"/>
    <w:bookmarkStart w:id="447"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446">
        <w:r>
          <w:rPr>
            <w:rStyle w:val="Hyperlink"/>
          </w:rPr>
          <w:t xml:space="preserve">https://doi.org/10.1016/j.enpol.2018.09.031</w:t>
        </w:r>
      </w:hyperlink>
    </w:p>
    <w:bookmarkEnd w:id="447"/>
    <w:bookmarkStart w:id="449"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448">
        <w:r>
          <w:rPr>
            <w:rStyle w:val="Hyperlink"/>
          </w:rPr>
          <w:t xml:space="preserve">https://doi.org/10.1093/ooenergy/oiab007</w:t>
        </w:r>
      </w:hyperlink>
    </w:p>
    <w:bookmarkEnd w:id="449"/>
    <w:bookmarkStart w:id="451"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450">
        <w:r>
          <w:rPr>
            <w:rStyle w:val="Hyperlink"/>
          </w:rPr>
          <w:t xml:space="preserve">https://doi.org/10.1016/j.epsr.2021.107022</w:t>
        </w:r>
      </w:hyperlink>
    </w:p>
    <w:bookmarkEnd w:id="451"/>
    <w:bookmarkStart w:id="453"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452">
        <w:r>
          <w:rPr>
            <w:rStyle w:val="Hyperlink"/>
          </w:rPr>
          <w:t xml:space="preserve">https://doi.org/10.1016/j.enpol.2018.01.023</w:t>
        </w:r>
      </w:hyperlink>
    </w:p>
    <w:bookmarkEnd w:id="453"/>
    <w:bookmarkStart w:id="454"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454"/>
    <w:bookmarkStart w:id="455"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455"/>
    <w:bookmarkStart w:id="456"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456"/>
    <w:bookmarkStart w:id="457"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457"/>
    <w:bookmarkStart w:id="459"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458">
        <w:r>
          <w:rPr>
            <w:rStyle w:val="Hyperlink"/>
          </w:rPr>
          <w:t xml:space="preserve">https://doi.org/10.1049/iet-gtd.2013.0720</w:t>
        </w:r>
      </w:hyperlink>
    </w:p>
    <w:bookmarkEnd w:id="459"/>
    <w:bookmarkStart w:id="461"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460">
        <w:r>
          <w:rPr>
            <w:rStyle w:val="Hyperlink"/>
          </w:rPr>
          <w:t xml:space="preserve">https://doi.org/10.1109/MPE.2021.3088958</w:t>
        </w:r>
      </w:hyperlink>
    </w:p>
    <w:bookmarkEnd w:id="461"/>
    <w:bookmarkStart w:id="463"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462">
        <w:r>
          <w:rPr>
            <w:rStyle w:val="Hyperlink"/>
          </w:rPr>
          <w:t xml:space="preserve">https://doi.org/10.1007/s11149-021-09430-7</w:t>
        </w:r>
      </w:hyperlink>
    </w:p>
    <w:bookmarkEnd w:id="463"/>
    <w:bookmarkStart w:id="465" w:name="ref-elaAncillaryServicesUnited2019"/>
    <w:p>
      <w:pPr>
        <w:pStyle w:val="Bibliography"/>
      </w:pPr>
      <w:r>
        <w:t xml:space="preserve">Ela, E., Hytowitz, R.B., 2019.</w:t>
      </w:r>
      <w:r>
        <w:t xml:space="preserve"> </w:t>
      </w:r>
      <w:hyperlink r:id="rId464">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465"/>
    <w:bookmarkStart w:id="467"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466">
        <w:r>
          <w:rPr>
            <w:rStyle w:val="Hyperlink"/>
          </w:rPr>
          <w:t xml:space="preserve">https://doi.org/10.1109/pesgm.2012.6345361</w:t>
        </w:r>
      </w:hyperlink>
    </w:p>
    <w:bookmarkEnd w:id="467"/>
    <w:bookmarkStart w:id="469"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468">
        <w:r>
          <w:rPr>
            <w:rStyle w:val="Hyperlink"/>
          </w:rPr>
          <w:t xml:space="preserve">https://doi.org/10.1016/j.tej.2016.05.001</w:t>
        </w:r>
      </w:hyperlink>
    </w:p>
    <w:bookmarkEnd w:id="469"/>
    <w:bookmarkStart w:id="471"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470">
        <w:r>
          <w:rPr>
            <w:rStyle w:val="Hyperlink"/>
          </w:rPr>
          <w:t xml:space="preserve">https://doi.org/10.2172/1023095</w:t>
        </w:r>
      </w:hyperlink>
    </w:p>
    <w:bookmarkEnd w:id="471"/>
    <w:bookmarkStart w:id="473"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472">
        <w:r>
          <w:rPr>
            <w:rStyle w:val="Hyperlink"/>
          </w:rPr>
          <w:t xml:space="preserve">https://doi.org/10.1109/mpe.2020.3033396</w:t>
        </w:r>
      </w:hyperlink>
    </w:p>
    <w:bookmarkEnd w:id="473"/>
    <w:bookmarkStart w:id="475"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474">
        <w:r>
          <w:rPr>
            <w:rStyle w:val="Hyperlink"/>
          </w:rPr>
          <w:t xml:space="preserve">https://doi.org/10.1109/mpe.2019.2933281</w:t>
        </w:r>
      </w:hyperlink>
    </w:p>
    <w:bookmarkEnd w:id="475"/>
    <w:bookmarkStart w:id="477"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476">
        <w:r>
          <w:rPr>
            <w:rStyle w:val="Hyperlink"/>
          </w:rPr>
          <w:t xml:space="preserve">https://doi.org/10.1016/j.tej.2012.04.015</w:t>
        </w:r>
      </w:hyperlink>
    </w:p>
    <w:bookmarkEnd w:id="477"/>
    <w:bookmarkStart w:id="479"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478">
        <w:r>
          <w:rPr>
            <w:rStyle w:val="Hyperlink"/>
          </w:rPr>
          <w:t xml:space="preserve">https://www.projectenergyconnect.com.au/index.html</w:t>
        </w:r>
      </w:hyperlink>
      <w:r>
        <w:t xml:space="preserve"> </w:t>
      </w:r>
      <w:r>
        <w:t xml:space="preserve">(accessed 4.12.2022).</w:t>
      </w:r>
    </w:p>
    <w:bookmarkEnd w:id="479"/>
    <w:bookmarkStart w:id="481" w:name="Xf2b71f0688f5c136cf7f65402d8c0e046f8bb5c"/>
    <w:p>
      <w:pPr>
        <w:pStyle w:val="Bibliography"/>
      </w:pPr>
      <w:r>
        <w:t xml:space="preserve">Electricity Sector Climate Information Project, 2021.</w:t>
      </w:r>
      <w:r>
        <w:t xml:space="preserve"> </w:t>
      </w:r>
      <w:hyperlink r:id="rId480">
        <w:r>
          <w:rPr>
            <w:rStyle w:val="Hyperlink"/>
          </w:rPr>
          <w:t xml:space="preserve">ESCI Project Final Report</w:t>
        </w:r>
      </w:hyperlink>
      <w:r>
        <w:t xml:space="preserve">.</w:t>
      </w:r>
    </w:p>
    <w:bookmarkEnd w:id="481"/>
    <w:bookmarkStart w:id="482"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482"/>
    <w:bookmarkStart w:id="484"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483">
        <w:r>
          <w:rPr>
            <w:rStyle w:val="Hyperlink"/>
          </w:rPr>
          <w:t xml:space="preserve">https://www.energyexemplar.com/plexos</w:t>
        </w:r>
      </w:hyperlink>
      <w:r>
        <w:t xml:space="preserve"> </w:t>
      </w:r>
      <w:r>
        <w:t xml:space="preserve">(accessed 4.13.2022).</w:t>
      </w:r>
    </w:p>
    <w:bookmarkEnd w:id="484"/>
    <w:bookmarkStart w:id="485" w:name="X7015a224666469daa6d4b0f722bbf71ebae73a3"/>
    <w:p>
      <w:pPr>
        <w:pStyle w:val="Bibliography"/>
      </w:pPr>
      <w:r>
        <w:t xml:space="preserve">Energy Security Board, 2021.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485"/>
    <w:bookmarkStart w:id="486" w:name="X6c60a147e49364a37325ec3c8c342d718257c70"/>
    <w:p>
      <w:pPr>
        <w:pStyle w:val="Bibliography"/>
      </w:pPr>
      <w:r>
        <w:t xml:space="preserve">Energy Security Board, 2020. Post 2025</w:t>
      </w:r>
      <w:r>
        <w:t xml:space="preserve"> </w:t>
      </w:r>
      <w:r>
        <w:t xml:space="preserve">Market Design Consultation Paper</w:t>
      </w:r>
      <w:r>
        <w:t xml:space="preserve">.</w:t>
      </w:r>
      <w:r>
        <w:t xml:space="preserve"> </w:t>
      </w:r>
      <w:r>
        <w:t xml:space="preserve">COAG Energy Council</w:t>
      </w:r>
      <w:r>
        <w:t xml:space="preserve">.</w:t>
      </w:r>
    </w:p>
    <w:bookmarkEnd w:id="486"/>
    <w:bookmarkStart w:id="487"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487"/>
    <w:bookmarkStart w:id="488"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488"/>
    <w:bookmarkStart w:id="490"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489">
        <w:r>
          <w:rPr>
            <w:rStyle w:val="Hyperlink"/>
          </w:rPr>
          <w:t xml:space="preserve">https://www.epexspot.com/en/marketcoupling</w:t>
        </w:r>
      </w:hyperlink>
      <w:r>
        <w:t xml:space="preserve"> </w:t>
      </w:r>
      <w:r>
        <w:t xml:space="preserve">(accessed 1.14.2022).</w:t>
      </w:r>
    </w:p>
    <w:bookmarkEnd w:id="490"/>
    <w:bookmarkStart w:id="492"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491">
        <w:r>
          <w:rPr>
            <w:rStyle w:val="Hyperlink"/>
          </w:rPr>
          <w:t xml:space="preserve">https://doi.org/10.1049/iet-rpg.2017.0370</w:t>
        </w:r>
      </w:hyperlink>
    </w:p>
    <w:bookmarkEnd w:id="492"/>
    <w:bookmarkStart w:id="493"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493"/>
    <w:bookmarkStart w:id="494"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494"/>
    <w:bookmarkStart w:id="496" w:name="Xc2eda901e84eb700caa2d19078af1c12c2e9550"/>
    <w:p>
      <w:pPr>
        <w:pStyle w:val="Bibliography"/>
      </w:pPr>
      <w:r>
        <w:t xml:space="preserve">European Commission, 2017.</w:t>
      </w:r>
      <w:r>
        <w:t xml:space="preserve"> </w:t>
      </w:r>
      <w:hyperlink r:id="rId495">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496"/>
    <w:bookmarkStart w:id="497"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497"/>
    <w:bookmarkStart w:id="498"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498"/>
    <w:bookmarkStart w:id="499"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499"/>
    <w:bookmarkStart w:id="501" w:name="Xa6a1827605ca5d143e229c53fba6f164e8ef9ec"/>
    <w:p>
      <w:pPr>
        <w:pStyle w:val="Bibliography"/>
      </w:pPr>
      <w:r>
        <w:t xml:space="preserve">Federal Energy Regulatory Commission, 2021.</w:t>
      </w:r>
      <w:r>
        <w:t xml:space="preserve"> </w:t>
      </w:r>
      <w:hyperlink r:id="rId500">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501"/>
    <w:bookmarkStart w:id="502" w:name="X977aae00333e0cfab0ba7c0b81bad1439afa208"/>
    <w:p>
      <w:pPr>
        <w:pStyle w:val="Bibliography"/>
      </w:pPr>
      <w:r>
        <w:t xml:space="preserve">Federal Energy Regulatory Commission, 2018.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502"/>
    <w:bookmarkStart w:id="504"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503">
        <w:r>
          <w:rPr>
            <w:rStyle w:val="Hyperlink"/>
          </w:rPr>
          <w:t xml:space="preserve">https://doi.org/10.1016/j.rser.2019.109662</w:t>
        </w:r>
      </w:hyperlink>
    </w:p>
    <w:bookmarkEnd w:id="504"/>
    <w:bookmarkStart w:id="506"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505">
        <w:r>
          <w:rPr>
            <w:rStyle w:val="Hyperlink"/>
          </w:rPr>
          <w:t xml:space="preserve">https://doi.org/10.1016/j.enpol.2021.112443</w:t>
        </w:r>
      </w:hyperlink>
    </w:p>
    <w:bookmarkEnd w:id="506"/>
    <w:bookmarkStart w:id="508"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507">
        <w:r>
          <w:rPr>
            <w:rStyle w:val="Hyperlink"/>
          </w:rPr>
          <w:t xml:space="preserve">https://doi.org/10.1016/j.joule.2021.03.021</w:t>
        </w:r>
      </w:hyperlink>
    </w:p>
    <w:bookmarkEnd w:id="508"/>
    <w:bookmarkStart w:id="510"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509">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510"/>
    <w:bookmarkStart w:id="511"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511"/>
    <w:bookmarkStart w:id="513" w:name="ref-gimonGridPhysicsMarkets2020"/>
    <w:p>
      <w:pPr>
        <w:pStyle w:val="Bibliography"/>
      </w:pPr>
      <w:r>
        <w:t xml:space="preserve">Gimon, E., 2020.</w:t>
      </w:r>
      <w:r>
        <w:t xml:space="preserve"> </w:t>
      </w:r>
      <w:hyperlink r:id="rId512">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513"/>
    <w:bookmarkStart w:id="515"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514">
        <w:r>
          <w:rPr>
            <w:rStyle w:val="Hyperlink"/>
          </w:rPr>
          <w:t xml:space="preserve">https://doi.org/10.1016/j.rser.2017.05.278</w:t>
        </w:r>
      </w:hyperlink>
    </w:p>
    <w:bookmarkEnd w:id="515"/>
    <w:bookmarkStart w:id="517" w:name="ref-gormanNEMOSISNEMOpen2018"/>
    <w:p>
      <w:pPr>
        <w:pStyle w:val="Bibliography"/>
      </w:pPr>
      <w:r>
        <w:t xml:space="preserve">Gorman, N., Haghdadi, N., Bruce, A., MacGill, I., 2018.</w:t>
      </w:r>
      <w:r>
        <w:t xml:space="preserve"> </w:t>
      </w:r>
      <w:hyperlink r:id="rId516">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517"/>
    <w:bookmarkStart w:id="518"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518"/>
    <w:bookmarkStart w:id="520"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519">
        <w:r>
          <w:rPr>
            <w:rStyle w:val="Hyperlink"/>
          </w:rPr>
          <w:t xml:space="preserve">https://doi.org/10.17775/cseejpes.2019.00230</w:t>
        </w:r>
      </w:hyperlink>
    </w:p>
    <w:bookmarkEnd w:id="520"/>
    <w:bookmarkStart w:id="522"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521">
        <w:r>
          <w:rPr>
            <w:rStyle w:val="Hyperlink"/>
          </w:rPr>
          <w:t xml:space="preserve">https://doi.org/10.1080/23251042.2016.1155690</w:t>
        </w:r>
      </w:hyperlink>
    </w:p>
    <w:bookmarkEnd w:id="522"/>
    <w:bookmarkStart w:id="524"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523">
        <w:r>
          <w:rPr>
            <w:rStyle w:val="Hyperlink"/>
          </w:rPr>
          <w:t xml:space="preserve">https://doi.org/10.1002/2050-7038.12128</w:t>
        </w:r>
      </w:hyperlink>
    </w:p>
    <w:bookmarkEnd w:id="524"/>
    <w:bookmarkStart w:id="526"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525">
        <w:r>
          <w:rPr>
            <w:rStyle w:val="Hyperlink"/>
          </w:rPr>
          <w:t xml:space="preserve">https://doi.org/10.1109/tpwrs.2020.3041774</w:t>
        </w:r>
      </w:hyperlink>
    </w:p>
    <w:bookmarkEnd w:id="526"/>
    <w:bookmarkStart w:id="528" w:name="ref-heggartyQuantifyingPowerSystem2020"/>
    <w:p>
      <w:pPr>
        <w:pStyle w:val="Bibliography"/>
      </w:pPr>
      <w:r>
        <w:t xml:space="preserve">Heggarty, T., Bourmaud, J.Y., Girard, R., Kariniotakis, G., 2020. Quantifying power system flexibility provision. Applied Energy 279.</w:t>
      </w:r>
      <w:r>
        <w:t xml:space="preserve"> </w:t>
      </w:r>
      <w:hyperlink r:id="rId527">
        <w:r>
          <w:rPr>
            <w:rStyle w:val="Hyperlink"/>
          </w:rPr>
          <w:t xml:space="preserve">https://doi.org/10.1016/j.apenergy.2020.115852</w:t>
        </w:r>
      </w:hyperlink>
    </w:p>
    <w:bookmarkEnd w:id="528"/>
    <w:bookmarkStart w:id="529"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529"/>
    <w:bookmarkStart w:id="531"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530">
        <w:r>
          <w:rPr>
            <w:rStyle w:val="Hyperlink"/>
          </w:rPr>
          <w:t xml:space="preserve">https://doi.org/10.5547/01956574.37.3.lhir</w:t>
        </w:r>
      </w:hyperlink>
    </w:p>
    <w:bookmarkEnd w:id="531"/>
    <w:bookmarkStart w:id="533"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532">
        <w:r>
          <w:rPr>
            <w:rStyle w:val="Hyperlink"/>
          </w:rPr>
          <w:t xml:space="preserve">https://doi.org/10.1016/j.rser.2015.04.180</w:t>
        </w:r>
      </w:hyperlink>
    </w:p>
    <w:bookmarkEnd w:id="533"/>
    <w:bookmarkStart w:id="535"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534">
        <w:r>
          <w:rPr>
            <w:rStyle w:val="Hyperlink"/>
          </w:rPr>
          <w:t xml:space="preserve">https://doi.org/10.1109/mpe.2018.2871736</w:t>
        </w:r>
      </w:hyperlink>
    </w:p>
    <w:bookmarkEnd w:id="535"/>
    <w:bookmarkStart w:id="537" w:name="ref-hoganElectricityScarcityPricing2013"/>
    <w:p>
      <w:pPr>
        <w:pStyle w:val="Bibliography"/>
      </w:pPr>
      <w:r>
        <w:t xml:space="preserve">Hogan, W.W., 2013. Electricity scarcity pricing through operating reserves. Economics of Energy and Environmental Policy 2, 65–86.</w:t>
      </w:r>
      <w:r>
        <w:t xml:space="preserve"> </w:t>
      </w:r>
      <w:hyperlink r:id="rId536">
        <w:r>
          <w:rPr>
            <w:rStyle w:val="Hyperlink"/>
          </w:rPr>
          <w:t xml:space="preserve">https://doi.org/10.5547/2160-5890.2.2.4</w:t>
        </w:r>
      </w:hyperlink>
    </w:p>
    <w:bookmarkEnd w:id="537"/>
    <w:bookmarkStart w:id="538"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538"/>
    <w:bookmarkStart w:id="540"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539">
        <w:r>
          <w:rPr>
            <w:rStyle w:val="Hyperlink"/>
          </w:rPr>
          <w:t xml:space="preserve">https://doi.org/10.1109/pesmg.2013.6673067</w:t>
        </w:r>
      </w:hyperlink>
    </w:p>
    <w:bookmarkEnd w:id="540"/>
    <w:bookmarkStart w:id="542" w:name="ref-hopwoodMandatoryPrimaryFrequency2019"/>
    <w:p>
      <w:pPr>
        <w:pStyle w:val="Bibliography"/>
      </w:pPr>
      <w:r>
        <w:t xml:space="preserve">Hopwood, C., 2019.</w:t>
      </w:r>
      <w:r>
        <w:t xml:space="preserve"> </w:t>
      </w:r>
      <w:hyperlink r:id="rId541">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542"/>
    <w:bookmarkStart w:id="544"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543">
        <w:r>
          <w:rPr>
            <w:rStyle w:val="Hyperlink"/>
          </w:rPr>
          <w:t xml:space="preserve">https://doi.org/10.1016/j.tej.2017.01.009</w:t>
        </w:r>
      </w:hyperlink>
    </w:p>
    <w:bookmarkEnd w:id="544"/>
    <w:bookmarkStart w:id="545"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545"/>
    <w:bookmarkStart w:id="547"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546">
        <w:r>
          <w:rPr>
            <w:rStyle w:val="Hyperlink"/>
          </w:rPr>
          <w:t xml:space="preserve">https://doi.org/10.1016/j.tej.2004.03.001</w:t>
        </w:r>
      </w:hyperlink>
    </w:p>
    <w:bookmarkEnd w:id="547"/>
    <w:bookmarkStart w:id="549"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548">
        <w:r>
          <w:rPr>
            <w:rStyle w:val="Hyperlink"/>
          </w:rPr>
          <w:t xml:space="preserve">https://www.ibm.com/au-en/analytics/cplex-optimizer</w:t>
        </w:r>
      </w:hyperlink>
      <w:r>
        <w:t xml:space="preserve"> </w:t>
      </w:r>
      <w:r>
        <w:t xml:space="preserve">(accessed 4.13.2022).</w:t>
      </w:r>
    </w:p>
    <w:bookmarkEnd w:id="549"/>
    <w:bookmarkStart w:id="551" w:name="X1037d6da6301a89f5efffbd855b21f9bbda8894"/>
    <w:p>
      <w:pPr>
        <w:pStyle w:val="Bibliography"/>
      </w:pPr>
      <w:r>
        <w:t xml:space="preserve">International Energy Agency, 2022.</w:t>
      </w:r>
      <w:r>
        <w:t xml:space="preserve"> </w:t>
      </w:r>
      <w:hyperlink r:id="rId550">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551"/>
    <w:bookmarkStart w:id="553" w:name="X707547308052f2a4e45271b892818fca7267bcd"/>
    <w:p>
      <w:pPr>
        <w:pStyle w:val="Bibliography"/>
      </w:pPr>
      <w:r>
        <w:t xml:space="preserve">International Energy Agency, 2021.</w:t>
      </w:r>
      <w:r>
        <w:t xml:space="preserve"> </w:t>
      </w:r>
      <w:hyperlink r:id="rId552">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553"/>
    <w:bookmarkStart w:id="555" w:name="X6b2116a6968c52d8682ee37430ab1b91744235c"/>
    <w:p>
      <w:pPr>
        <w:pStyle w:val="Bibliography"/>
      </w:pPr>
      <w:r>
        <w:t xml:space="preserve">International Energy Agency, 2019.</w:t>
      </w:r>
      <w:r>
        <w:t xml:space="preserve"> </w:t>
      </w:r>
      <w:hyperlink r:id="rId554">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555"/>
    <w:bookmarkStart w:id="557"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556">
        <w:r>
          <w:rPr>
            <w:rStyle w:val="Hyperlink"/>
          </w:rPr>
          <w:t xml:space="preserve">https://doi.org/10.1016/j.enpol.2008.06.033</w:t>
        </w:r>
      </w:hyperlink>
    </w:p>
    <w:bookmarkEnd w:id="557"/>
    <w:bookmarkStart w:id="558"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558"/>
    <w:bookmarkStart w:id="560"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559">
        <w:r>
          <w:rPr>
            <w:rStyle w:val="Hyperlink"/>
          </w:rPr>
          <w:t xml:space="preserve">https://doi.org/10.1016/j.renene.2020.11.090</w:t>
        </w:r>
      </w:hyperlink>
    </w:p>
    <w:bookmarkEnd w:id="560"/>
    <w:bookmarkStart w:id="562"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561">
        <w:r>
          <w:rPr>
            <w:rStyle w:val="Hyperlink"/>
          </w:rPr>
          <w:t xml:space="preserve">https://doi.org/10.1016/j.solener.2020.05.053</w:t>
        </w:r>
      </w:hyperlink>
    </w:p>
    <w:bookmarkEnd w:id="562"/>
    <w:bookmarkStart w:id="563"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563"/>
    <w:bookmarkStart w:id="564"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564"/>
    <w:bookmarkStart w:id="566"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65">
        <w:r>
          <w:rPr>
            <w:rStyle w:val="Hyperlink"/>
          </w:rPr>
          <w:t xml:space="preserve">https://doi.org/10.1002/0470020598</w:t>
        </w:r>
      </w:hyperlink>
    </w:p>
    <w:bookmarkEnd w:id="566"/>
    <w:bookmarkStart w:id="568"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567">
        <w:r>
          <w:rPr>
            <w:rStyle w:val="Hyperlink"/>
          </w:rPr>
          <w:t xml:space="preserve">https://doi.org/10.1109/MPE.2016.2524964</w:t>
        </w:r>
      </w:hyperlink>
    </w:p>
    <w:bookmarkEnd w:id="568"/>
    <w:bookmarkStart w:id="570"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569">
        <w:r>
          <w:rPr>
            <w:rStyle w:val="Hyperlink"/>
          </w:rPr>
          <w:t xml:space="preserve">https://doi.org/10.1109/mpe.2016.2637122</w:t>
        </w:r>
      </w:hyperlink>
    </w:p>
    <w:bookmarkEnd w:id="570"/>
    <w:bookmarkStart w:id="572" w:name="ref-kuiperWhatStateVirtual2022"/>
    <w:p>
      <w:pPr>
        <w:pStyle w:val="Bibliography"/>
      </w:pPr>
      <w:r>
        <w:t xml:space="preserve">Kuiper, G., 2022.</w:t>
      </w:r>
      <w:r>
        <w:t xml:space="preserve"> </w:t>
      </w:r>
      <w:hyperlink r:id="rId571">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572"/>
    <w:bookmarkStart w:id="574"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573">
        <w:r>
          <w:rPr>
            <w:rStyle w:val="Hyperlink"/>
          </w:rPr>
          <w:t xml:space="preserve">https://doi.org/10.2172/1046269</w:t>
        </w:r>
      </w:hyperlink>
    </w:p>
    <w:bookmarkEnd w:id="574"/>
    <w:bookmarkStart w:id="576" w:name="ref-lagoMarketFrameworkGrid2021"/>
    <w:p>
      <w:pPr>
        <w:pStyle w:val="Bibliography"/>
      </w:pPr>
      <w:r>
        <w:t xml:space="preserve">Lago, J., Poplavskaya, K., Suryanarayana, G., De Schutter, B., 2021. A market framework for grid balancing support through imbalances trading. Renewable and Sustainable Energy Reviews 137, 110467.</w:t>
      </w:r>
      <w:r>
        <w:t xml:space="preserve"> </w:t>
      </w:r>
      <w:hyperlink r:id="rId575">
        <w:r>
          <w:rPr>
            <w:rStyle w:val="Hyperlink"/>
          </w:rPr>
          <w:t xml:space="preserve">https://doi.org/10.1016/j.rser.2020.110467</w:t>
        </w:r>
      </w:hyperlink>
    </w:p>
    <w:bookmarkEnd w:id="576"/>
    <w:bookmarkStart w:id="578"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577">
        <w:r>
          <w:rPr>
            <w:rStyle w:val="Hyperlink"/>
          </w:rPr>
          <w:t xml:space="preserve">https://doi.org/10.1109/mpe.2021.3088959</w:t>
        </w:r>
      </w:hyperlink>
    </w:p>
    <w:bookmarkEnd w:id="578"/>
    <w:bookmarkStart w:id="580"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579">
        <w:r>
          <w:rPr>
            <w:rStyle w:val="Hyperlink"/>
          </w:rPr>
          <w:t xml:space="preserve">https://doi.org/10.1109/tpwrs.2014.2321793</w:t>
        </w:r>
      </w:hyperlink>
    </w:p>
    <w:bookmarkEnd w:id="580"/>
    <w:bookmarkStart w:id="582"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581">
        <w:r>
          <w:rPr>
            <w:rStyle w:val="Hyperlink"/>
          </w:rPr>
          <w:t xml:space="preserve">https://doi.org/10.1109/tpwrs.2011.2177280</w:t>
        </w:r>
      </w:hyperlink>
    </w:p>
    <w:bookmarkEnd w:id="582"/>
    <w:bookmarkStart w:id="584"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583">
        <w:r>
          <w:rPr>
            <w:rStyle w:val="Hyperlink"/>
          </w:rPr>
          <w:t xml:space="preserve">https://doi.org/10.1109/pesgm.2012.6345375</w:t>
        </w:r>
      </w:hyperlink>
    </w:p>
    <w:bookmarkEnd w:id="584"/>
    <w:bookmarkStart w:id="586"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585">
        <w:r>
          <w:rPr>
            <w:rStyle w:val="Hyperlink"/>
          </w:rPr>
          <w:t xml:space="preserve">https://doi.org/10.2172/1220243</w:t>
        </w:r>
      </w:hyperlink>
    </w:p>
    <w:bookmarkEnd w:id="586"/>
    <w:bookmarkStart w:id="587"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587"/>
    <w:bookmarkStart w:id="589"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588">
        <w:r>
          <w:rPr>
            <w:rStyle w:val="Hyperlink"/>
          </w:rPr>
          <w:t xml:space="preserve">https://doi.org/10.1109/MPE.2021.3072819</w:t>
        </w:r>
      </w:hyperlink>
    </w:p>
    <w:bookmarkEnd w:id="589"/>
    <w:bookmarkStart w:id="591"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590">
        <w:r>
          <w:rPr>
            <w:rStyle w:val="Hyperlink"/>
          </w:rPr>
          <w:t xml:space="preserve">https://doi.org/10.1016/j.enpol.2020.111739</w:t>
        </w:r>
      </w:hyperlink>
    </w:p>
    <w:bookmarkEnd w:id="591"/>
    <w:bookmarkStart w:id="593" w:name="ref-macgillElectricityMarketNorms2020"/>
    <w:p>
      <w:pPr>
        <w:pStyle w:val="Bibliography"/>
      </w:pPr>
      <w:r>
        <w:t xml:space="preserve">MacGill, I., Bruce, A., Zekulich, M., 2020.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592">
        <w:r>
          <w:rPr>
            <w:rStyle w:val="Hyperlink"/>
          </w:rPr>
          <w:t xml:space="preserve">https://doi.org/10.1109/pesgm41954.2020.9282169</w:t>
        </w:r>
      </w:hyperlink>
    </w:p>
    <w:bookmarkEnd w:id="593"/>
    <w:bookmarkStart w:id="595"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594">
        <w:r>
          <w:rPr>
            <w:rStyle w:val="Hyperlink"/>
          </w:rPr>
          <w:t xml:space="preserve">https://doi.org/10.1016/j.tej.2020.106831</w:t>
        </w:r>
      </w:hyperlink>
    </w:p>
    <w:bookmarkEnd w:id="595"/>
    <w:bookmarkStart w:id="596"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596"/>
    <w:bookmarkStart w:id="598"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597">
        <w:r>
          <w:rPr>
            <w:rStyle w:val="Hyperlink"/>
          </w:rPr>
          <w:t xml:space="preserve">https://doi.org/10.1109/mpe.2020.3043570</w:t>
        </w:r>
      </w:hyperlink>
    </w:p>
    <w:bookmarkEnd w:id="598"/>
    <w:bookmarkStart w:id="600"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599">
        <w:r>
          <w:rPr>
            <w:rStyle w:val="Hyperlink"/>
          </w:rPr>
          <w:t xml:space="preserve">https://doi.org/10.1002/0471668826</w:t>
        </w:r>
      </w:hyperlink>
    </w:p>
    <w:bookmarkEnd w:id="600"/>
    <w:bookmarkStart w:id="602"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601">
        <w:r>
          <w:rPr>
            <w:rStyle w:val="Hyperlink"/>
          </w:rPr>
          <w:t xml:space="preserve">https://doi.org/10.1109/mpe.2021.3104075</w:t>
        </w:r>
      </w:hyperlink>
    </w:p>
    <w:bookmarkEnd w:id="602"/>
    <w:bookmarkStart w:id="604" w:name="ref-maysMissingIncentivesFlexibility2021"/>
    <w:p>
      <w:pPr>
        <w:pStyle w:val="Bibliography"/>
      </w:pPr>
      <w:r>
        <w:t xml:space="preserve">Mays, J., 2021. Missing incentives for flexibility in wholesale electricity markets. Energy Policy 149, 112010.</w:t>
      </w:r>
      <w:r>
        <w:t xml:space="preserve"> </w:t>
      </w:r>
      <w:hyperlink r:id="rId603">
        <w:r>
          <w:rPr>
            <w:rStyle w:val="Hyperlink"/>
          </w:rPr>
          <w:t xml:space="preserve">https://doi.org/10.1016/j.enpol.2020.112010</w:t>
        </w:r>
      </w:hyperlink>
    </w:p>
    <w:bookmarkEnd w:id="604"/>
    <w:bookmarkStart w:id="606"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605">
        <w:r>
          <w:rPr>
            <w:rStyle w:val="Hyperlink"/>
          </w:rPr>
          <w:t xml:space="preserve">https://doi.org/10.1016/j.joule.2022.01.004</w:t>
        </w:r>
      </w:hyperlink>
    </w:p>
    <w:bookmarkEnd w:id="606"/>
    <w:bookmarkStart w:id="608"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607">
        <w:r>
          <w:rPr>
            <w:rStyle w:val="Hyperlink"/>
          </w:rPr>
          <w:t xml:space="preserve">https://doi.org/10.1002/wene.399</w:t>
        </w:r>
      </w:hyperlink>
    </w:p>
    <w:bookmarkEnd w:id="608"/>
    <w:bookmarkStart w:id="610"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609">
        <w:r>
          <w:rPr>
            <w:rStyle w:val="Hyperlink"/>
          </w:rPr>
          <w:t xml:space="preserve">https://doi.org/10.23919/pscc.2018.8450880</w:t>
        </w:r>
      </w:hyperlink>
    </w:p>
    <w:bookmarkEnd w:id="610"/>
    <w:bookmarkStart w:id="612" w:name="ref-millerAdvisoryEquipmentLimits2017"/>
    <w:p>
      <w:pPr>
        <w:pStyle w:val="Bibliography"/>
      </w:pPr>
      <w:r>
        <w:t xml:space="preserve">Miller, N., Lew, D., Barnes, S., Ren, W., Reichard, M., Alexander, M., Freeman, L., Achilles, S., Adamiak, M., 2017a.</w:t>
      </w:r>
      <w:r>
        <w:t xml:space="preserve"> </w:t>
      </w:r>
      <w:hyperlink r:id="rId611">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612"/>
    <w:bookmarkStart w:id="613"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613"/>
    <w:bookmarkStart w:id="615"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614">
        <w:r>
          <w:rPr>
            <w:rStyle w:val="Hyperlink"/>
          </w:rPr>
          <w:t xml:space="preserve">https://doi.org/10.1016/j.tej.2011.10.011</w:t>
        </w:r>
      </w:hyperlink>
    </w:p>
    <w:bookmarkEnd w:id="615"/>
    <w:bookmarkStart w:id="616"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616"/>
    <w:bookmarkStart w:id="618"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617">
        <w:r>
          <w:rPr>
            <w:rStyle w:val="Hyperlink"/>
          </w:rPr>
          <w:t xml:space="preserve">https://doi.org/10.1109/tpwrs.2019.2897727</w:t>
        </w:r>
      </w:hyperlink>
    </w:p>
    <w:bookmarkEnd w:id="618"/>
    <w:bookmarkStart w:id="620" w:name="X924f2cb14b06b22bf527e8a066222b69a4c5b25"/>
    <w:p>
      <w:pPr>
        <w:pStyle w:val="Bibliography"/>
      </w:pPr>
      <w:r>
        <w:t xml:space="preserve">Monitoring Analytics, 2021.</w:t>
      </w:r>
      <w:r>
        <w:t xml:space="preserve"> </w:t>
      </w:r>
      <w:hyperlink r:id="rId619">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620"/>
    <w:bookmarkStart w:id="622"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621">
        <w:r>
          <w:rPr>
            <w:rStyle w:val="Hyperlink"/>
          </w:rPr>
          <w:t xml:space="preserve">https://doi.org/10.1016/j.ijepes.2013.09.020</w:t>
        </w:r>
      </w:hyperlink>
    </w:p>
    <w:bookmarkEnd w:id="622"/>
    <w:bookmarkStart w:id="623"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623"/>
    <w:bookmarkStart w:id="625" w:name="ref-nemocommitteeSingleIntradayCoupling"/>
    <w:p>
      <w:pPr>
        <w:pStyle w:val="Bibliography"/>
      </w:pPr>
      <w:r>
        <w:t xml:space="preserve">NEMO Committee, n.d. Single Intraday Coupling (SIDC) [WWW Document]. URL</w:t>
      </w:r>
      <w:r>
        <w:t xml:space="preserve"> </w:t>
      </w:r>
      <w:hyperlink r:id="rId624">
        <w:r>
          <w:rPr>
            <w:rStyle w:val="Hyperlink"/>
          </w:rPr>
          <w:t xml:space="preserve">https://nemo-committee.eu/sidc</w:t>
        </w:r>
      </w:hyperlink>
      <w:r>
        <w:t xml:space="preserve"> </w:t>
      </w:r>
      <w:r>
        <w:t xml:space="preserve">(accessed 1.14.2022).</w:t>
      </w:r>
    </w:p>
    <w:bookmarkEnd w:id="625"/>
    <w:bookmarkStart w:id="626"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626"/>
    <w:bookmarkStart w:id="628"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627">
        <w:r>
          <w:rPr>
            <w:rStyle w:val="Hyperlink"/>
          </w:rPr>
          <w:t xml:space="preserve">https://www.nerc.com/AboutNERC/keyplayers/PublishingImages/NERC%20Interconnections.pdf</w:t>
        </w:r>
      </w:hyperlink>
      <w:r>
        <w:t xml:space="preserve"> </w:t>
      </w:r>
      <w:r>
        <w:t xml:space="preserve">(accessed 10.26.2023).</w:t>
      </w:r>
    </w:p>
    <w:bookmarkEnd w:id="628"/>
    <w:bookmarkStart w:id="630" w:name="X2d2088817746795390ef3fc2d6e57d520a5b77f"/>
    <w:p>
      <w:pPr>
        <w:pStyle w:val="Bibliography"/>
      </w:pPr>
      <w:r>
        <w:t xml:space="preserve">North American Electric Reliability Corporation, 2022.</w:t>
      </w:r>
      <w:r>
        <w:t xml:space="preserve"> </w:t>
      </w:r>
      <w:hyperlink r:id="rId629">
        <w:r>
          <w:rPr>
            <w:rStyle w:val="Hyperlink"/>
          </w:rPr>
          <w:t xml:space="preserve">2022</w:t>
        </w:r>
        <w:r>
          <w:rPr>
            <w:rStyle w:val="Hyperlink"/>
          </w:rPr>
          <w:t xml:space="preserve"> </w:t>
        </w:r>
        <w:r>
          <w:rPr>
            <w:rStyle w:val="Hyperlink"/>
          </w:rPr>
          <w:t xml:space="preserve">Summer Reliability Assessment</w:t>
        </w:r>
      </w:hyperlink>
      <w:r>
        <w:t xml:space="preserve">.</w:t>
      </w:r>
    </w:p>
    <w:bookmarkEnd w:id="630"/>
    <w:bookmarkStart w:id="632"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631">
        <w:r>
          <w:rPr>
            <w:rStyle w:val="Hyperlink"/>
          </w:rPr>
          <w:t xml:space="preserve">https://doi.org/10.1109/tste.2015.2410760</w:t>
        </w:r>
      </w:hyperlink>
    </w:p>
    <w:bookmarkEnd w:id="632"/>
    <w:bookmarkStart w:id="634"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633">
        <w:r>
          <w:rPr>
            <w:rStyle w:val="Hyperlink"/>
          </w:rPr>
          <w:t xml:space="preserve">https://doi.org/10.1109/eem.2016.7521193</w:t>
        </w:r>
      </w:hyperlink>
    </w:p>
    <w:bookmarkEnd w:id="634"/>
    <w:bookmarkStart w:id="636"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635">
        <w:r>
          <w:rPr>
            <w:rStyle w:val="Hyperlink"/>
          </w:rPr>
          <w:t xml:space="preserve">https://doi.org/10.1016/j.rser.2016.09.040</w:t>
        </w:r>
      </w:hyperlink>
    </w:p>
    <w:bookmarkEnd w:id="636"/>
    <w:bookmarkStart w:id="638"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637">
        <w:r>
          <w:rPr>
            <w:rStyle w:val="Hyperlink"/>
          </w:rPr>
          <w:t xml:space="preserve">https://doi.org/10.1016/j.eneco.2018.05.003</w:t>
        </w:r>
      </w:hyperlink>
    </w:p>
    <w:bookmarkEnd w:id="638"/>
    <w:bookmarkStart w:id="640"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639">
        <w:r>
          <w:rPr>
            <w:rStyle w:val="Hyperlink"/>
          </w:rPr>
          <w:t xml:space="preserve">https://doi.org/10.1109/pmaps47429.2020.9183585</w:t>
        </w:r>
      </w:hyperlink>
    </w:p>
    <w:bookmarkEnd w:id="640"/>
    <w:bookmarkStart w:id="642"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641">
        <w:r>
          <w:rPr>
            <w:rStyle w:val="Hyperlink"/>
          </w:rPr>
          <w:t xml:space="preserve">https://doi.org/10.1016/j.tej.2018.05.012</w:t>
        </w:r>
      </w:hyperlink>
    </w:p>
    <w:bookmarkEnd w:id="642"/>
    <w:bookmarkStart w:id="644"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643">
        <w:r>
          <w:rPr>
            <w:rStyle w:val="Hyperlink"/>
          </w:rPr>
          <w:t xml:space="preserve">https://doi.org/10.1109/TPWRS.2013.2293127</w:t>
        </w:r>
      </w:hyperlink>
    </w:p>
    <w:bookmarkEnd w:id="644"/>
    <w:bookmarkStart w:id="646"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645">
        <w:r>
          <w:rPr>
            <w:rStyle w:val="Hyperlink"/>
          </w:rPr>
          <w:t xml:space="preserve">https://doi.org/10.1016/j.renene.2018.04.094</w:t>
        </w:r>
      </w:hyperlink>
    </w:p>
    <w:bookmarkEnd w:id="646"/>
    <w:bookmarkStart w:id="648"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647">
        <w:r>
          <w:rPr>
            <w:rStyle w:val="Hyperlink"/>
          </w:rPr>
          <w:t xml:space="preserve">https://doi.org/10.1016/j.tej.2020.106863</w:t>
        </w:r>
      </w:hyperlink>
    </w:p>
    <w:bookmarkEnd w:id="648"/>
    <w:bookmarkStart w:id="650"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649">
        <w:r>
          <w:rPr>
            <w:rStyle w:val="Hyperlink"/>
          </w:rPr>
          <w:t xml:space="preserve">https://wattclarity.com.au/articles/2021/12/two-improvements-in-nemde-dispatch/</w:t>
        </w:r>
      </w:hyperlink>
      <w:r>
        <w:t xml:space="preserve"> </w:t>
      </w:r>
      <w:r>
        <w:t xml:space="preserve">(accessed 5.23.2022).</w:t>
      </w:r>
    </w:p>
    <w:bookmarkEnd w:id="650"/>
    <w:bookmarkStart w:id="651"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651"/>
    <w:bookmarkStart w:id="653"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652">
        <w:r>
          <w:rPr>
            <w:rStyle w:val="Hyperlink"/>
          </w:rPr>
          <w:t xml:space="preserve">https://doi.org/10.1016/j.enpol.2018.11.009</w:t>
        </w:r>
      </w:hyperlink>
    </w:p>
    <w:bookmarkEnd w:id="653"/>
    <w:bookmarkStart w:id="655" w:name="ref-prakashNEMSEER2023"/>
    <w:p>
      <w:pPr>
        <w:pStyle w:val="Bibliography"/>
      </w:pPr>
      <w:r>
        <w:t xml:space="preserve">Prakash, A., 2023.</w:t>
      </w:r>
      <w:r>
        <w:t xml:space="preserve"> </w:t>
      </w:r>
      <w:hyperlink r:id="rId654">
        <w:r>
          <w:rPr>
            <w:rStyle w:val="Hyperlink"/>
          </w:rPr>
          <w:t xml:space="preserve">NEMSEER</w:t>
        </w:r>
      </w:hyperlink>
      <w:r>
        <w:t xml:space="preserve">.</w:t>
      </w:r>
    </w:p>
    <w:bookmarkEnd w:id="655"/>
    <w:bookmarkStart w:id="657" w:name="X8b11e2467072af0b0fac4c3c83a47ce43a1f70b"/>
    <w:p>
      <w:pPr>
        <w:pStyle w:val="Bibliography"/>
      </w:pPr>
      <w:r>
        <w:t xml:space="preserve">Prakash, A., Bruce, A., MacGill, I., 2022.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656">
        <w:r>
          <w:rPr>
            <w:rStyle w:val="Hyperlink"/>
          </w:rPr>
          <w:t xml:space="preserve">https://doi.org/10.1016/j.rser.2022.112303</w:t>
        </w:r>
      </w:hyperlink>
    </w:p>
    <w:bookmarkEnd w:id="657"/>
    <w:bookmarkStart w:id="659"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658">
        <w:r>
          <w:rPr>
            <w:rStyle w:val="Hyperlink"/>
          </w:rPr>
          <w:t xml:space="preserve">https://doi.org/10.13140/RG.2.2.11620.50560</w:t>
        </w:r>
      </w:hyperlink>
    </w:p>
    <w:bookmarkEnd w:id="659"/>
    <w:bookmarkStart w:id="660"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660"/>
    <w:bookmarkStart w:id="662"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661">
        <w:r>
          <w:rPr>
            <w:rStyle w:val="Hyperlink"/>
          </w:rPr>
          <w:t xml:space="preserve">https://doi.org/10.1109/tpwrs.2006.888965</w:t>
        </w:r>
      </w:hyperlink>
    </w:p>
    <w:bookmarkEnd w:id="662"/>
    <w:bookmarkStart w:id="664"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663">
        <w:r>
          <w:rPr>
            <w:rStyle w:val="Hyperlink"/>
          </w:rPr>
          <w:t xml:space="preserve">https://doi.org/10.1109/tpwrs.2006.888963</w:t>
        </w:r>
      </w:hyperlink>
    </w:p>
    <w:bookmarkEnd w:id="664"/>
    <w:bookmarkStart w:id="666"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665">
        <w:r>
          <w:rPr>
            <w:rStyle w:val="Hyperlink"/>
          </w:rPr>
          <w:t xml:space="preserve">https://doi.org/10.1016/j.tej.2007.06.003</w:t>
        </w:r>
      </w:hyperlink>
    </w:p>
    <w:bookmarkEnd w:id="666"/>
    <w:bookmarkStart w:id="668" w:name="X89f15ff5920cde4fed5687ce100c6aeeedd900c"/>
    <w:p>
      <w:pPr>
        <w:pStyle w:val="Bibliography"/>
      </w:pPr>
      <w:r>
        <w:t xml:space="preserve">Redefining Resource Adequacy Task Force, 2021.</w:t>
      </w:r>
      <w:r>
        <w:t xml:space="preserve"> </w:t>
      </w:r>
      <w:hyperlink r:id="rId667">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668"/>
    <w:bookmarkStart w:id="669"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669"/>
    <w:bookmarkStart w:id="671" w:name="X7bf77d71136be2ef42a3439ae3ea29b9ec6613b"/>
    <w:p>
      <w:pPr>
        <w:pStyle w:val="Bibliography"/>
      </w:pPr>
      <w:r>
        <w:t xml:space="preserve">Renewable Energy Hub, 2021.</w:t>
      </w:r>
      <w:r>
        <w:t xml:space="preserve"> </w:t>
      </w:r>
      <w:hyperlink r:id="rId670">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671"/>
    <w:bookmarkStart w:id="673"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672">
        <w:r>
          <w:rPr>
            <w:rStyle w:val="Hyperlink"/>
          </w:rPr>
          <w:t xml:space="preserve">https://doi.org/10.5547/2160-5890.5.1.jrie</w:t>
        </w:r>
      </w:hyperlink>
    </w:p>
    <w:bookmarkEnd w:id="673"/>
    <w:bookmarkStart w:id="675"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674">
        <w:r>
          <w:rPr>
            <w:rStyle w:val="Hyperlink"/>
          </w:rPr>
          <w:t xml:space="preserve">https://doi.org/10.1016/j.tej.2015.03.006</w:t>
        </w:r>
      </w:hyperlink>
    </w:p>
    <w:bookmarkEnd w:id="675"/>
    <w:bookmarkStart w:id="677"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676">
        <w:r>
          <w:rPr>
            <w:rStyle w:val="Hyperlink"/>
          </w:rPr>
          <w:t xml:space="preserve">https://doi.org/10.1002/wene.137</w:t>
        </w:r>
      </w:hyperlink>
    </w:p>
    <w:bookmarkEnd w:id="677"/>
    <w:bookmarkStart w:id="678" w:name="ref-robertsReviewInternationalGrid2018"/>
    <w:p>
      <w:pPr>
        <w:pStyle w:val="Bibliography"/>
      </w:pPr>
      <w:r>
        <w:t xml:space="preserve">Roberts, C., 2018. Review of</w:t>
      </w:r>
      <w:r>
        <w:t xml:space="preserve"> </w:t>
      </w:r>
      <w:r>
        <w:t xml:space="preserve">International Grid Codes</w:t>
      </w:r>
      <w:r>
        <w:t xml:space="preserve">.</w:t>
      </w:r>
    </w:p>
    <w:bookmarkEnd w:id="678"/>
    <w:bookmarkStart w:id="680" w:name="ref-robertsVPPUserResearch2020"/>
    <w:p>
      <w:pPr>
        <w:pStyle w:val="Bibliography"/>
      </w:pPr>
      <w:r>
        <w:t xml:space="preserve">Roberts, M., Adams, S., Kuch, D., 2020.</w:t>
      </w:r>
      <w:r>
        <w:t xml:space="preserve"> </w:t>
      </w:r>
      <w:hyperlink r:id="rId679">
        <w:r>
          <w:rPr>
            <w:rStyle w:val="Hyperlink"/>
          </w:rPr>
          <w:t xml:space="preserve">VPP User Research Final Report</w:t>
        </w:r>
      </w:hyperlink>
      <w:r>
        <w:t xml:space="preserve">.</w:t>
      </w:r>
      <w:r>
        <w:t xml:space="preserve"> </w:t>
      </w:r>
      <w:r>
        <w:t xml:space="preserve">Solar Analytics, UNSW Sydney, UsersTCP</w:t>
      </w:r>
      <w:r>
        <w:t xml:space="preserve">.</w:t>
      </w:r>
    </w:p>
    <w:bookmarkEnd w:id="680"/>
    <w:bookmarkStart w:id="681"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681"/>
    <w:bookmarkStart w:id="683"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682">
        <w:r>
          <w:rPr>
            <w:rStyle w:val="Hyperlink"/>
          </w:rPr>
          <w:t xml:space="preserve">https://doi.org/10.1016/j.jup.2008.01.008</w:t>
        </w:r>
      </w:hyperlink>
    </w:p>
    <w:bookmarkEnd w:id="683"/>
    <w:bookmarkStart w:id="685"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684">
        <w:r>
          <w:rPr>
            <w:rStyle w:val="Hyperlink"/>
          </w:rPr>
          <w:t xml:space="preserve">https://doi.org/10.1109/hicss.2014.304</w:t>
        </w:r>
      </w:hyperlink>
    </w:p>
    <w:bookmarkEnd w:id="685"/>
    <w:bookmarkStart w:id="687"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686">
        <w:r>
          <w:rPr>
            <w:rStyle w:val="Hyperlink"/>
          </w:rPr>
          <w:t xml:space="preserve">https://doi.org/10.3929/ethz-a-010692129</w:t>
        </w:r>
      </w:hyperlink>
    </w:p>
    <w:bookmarkEnd w:id="687"/>
    <w:bookmarkStart w:id="689"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688">
        <w:r>
          <w:rPr>
            <w:rStyle w:val="Hyperlink"/>
          </w:rPr>
          <w:t xml:space="preserve">https://doi.org/10.1016/j.enpol.2013.07.030</w:t>
        </w:r>
      </w:hyperlink>
    </w:p>
    <w:bookmarkEnd w:id="689"/>
    <w:bookmarkStart w:id="691" w:name="Xf4a184150f583a127b538c8ab79b807384ea09e"/>
    <w:p>
      <w:pPr>
        <w:pStyle w:val="Bibliography"/>
      </w:pPr>
      <w:r>
        <w:t xml:space="preserve">Schittekatte, T., Pototschnig, A., 2022. Distributed energy resources and electricity balancing: Visions for future organisation.</w:t>
      </w:r>
      <w:r>
        <w:t xml:space="preserve"> </w:t>
      </w:r>
      <w:hyperlink r:id="rId690">
        <w:r>
          <w:rPr>
            <w:rStyle w:val="Hyperlink"/>
          </w:rPr>
          <w:t xml:space="preserve">https://doi.org/10.13140/RG.2.2.30173.69601</w:t>
        </w:r>
      </w:hyperlink>
    </w:p>
    <w:bookmarkEnd w:id="691"/>
    <w:bookmarkStart w:id="692"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692"/>
    <w:bookmarkStart w:id="694"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693">
        <w:r>
          <w:rPr>
            <w:rStyle w:val="Hyperlink"/>
          </w:rPr>
          <w:t xml:space="preserve">https://doi.org/10.1016/j.rser.2022.112228</w:t>
        </w:r>
      </w:hyperlink>
    </w:p>
    <w:bookmarkEnd w:id="694"/>
    <w:bookmarkStart w:id="695"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695"/>
    <w:bookmarkStart w:id="697"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696">
        <w:r>
          <w:rPr>
            <w:rStyle w:val="Hyperlink"/>
          </w:rPr>
          <w:t xml:space="preserve">https://doi.org/10.1016/j.tej.2020.106837</w:t>
        </w:r>
      </w:hyperlink>
    </w:p>
    <w:bookmarkEnd w:id="697"/>
    <w:bookmarkStart w:id="699"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698">
        <w:r>
          <w:rPr>
            <w:rStyle w:val="Hyperlink"/>
          </w:rPr>
          <w:t xml:space="preserve">https://doi.org/10.1109/mpe.2021.3104076</w:t>
        </w:r>
      </w:hyperlink>
    </w:p>
    <w:bookmarkEnd w:id="699"/>
    <w:bookmarkStart w:id="701"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700">
        <w:r>
          <w:rPr>
            <w:rStyle w:val="Hyperlink"/>
          </w:rPr>
          <w:t xml:space="preserve">https://doi.org/10.1109/mpe.2020.3014720</w:t>
        </w:r>
      </w:hyperlink>
    </w:p>
    <w:bookmarkEnd w:id="701"/>
    <w:bookmarkStart w:id="703"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702">
        <w:r>
          <w:rPr>
            <w:rStyle w:val="Hyperlink"/>
          </w:rPr>
          <w:t xml:space="preserve">https://doi.org/10.1016/j.tej.2021.106934</w:t>
        </w:r>
      </w:hyperlink>
    </w:p>
    <w:bookmarkEnd w:id="703"/>
    <w:bookmarkStart w:id="705"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704">
        <w:r>
          <w:rPr>
            <w:rStyle w:val="Hyperlink"/>
          </w:rPr>
          <w:t xml:space="preserve">https://doi.org/10.1109/pes.2007.385855</w:t>
        </w:r>
      </w:hyperlink>
    </w:p>
    <w:bookmarkEnd w:id="705"/>
    <w:bookmarkStart w:id="707"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706">
        <w:r>
          <w:rPr>
            <w:rStyle w:val="Hyperlink"/>
          </w:rPr>
          <w:t xml:space="preserve">https://doi.org/10.1260/030952408784305868</w:t>
        </w:r>
      </w:hyperlink>
    </w:p>
    <w:bookmarkEnd w:id="707"/>
    <w:bookmarkStart w:id="709" w:name="ref-tielensRelevanceInertiaPower2016"/>
    <w:p>
      <w:pPr>
        <w:pStyle w:val="Bibliography"/>
      </w:pPr>
      <w:r>
        <w:t xml:space="preserve">Tielens, P., Van Hertem, D., 2016. The relevance of inertia in power systems. Renewable and Sustainable Energy Reviews 55, 999–1009.</w:t>
      </w:r>
      <w:r>
        <w:t xml:space="preserve"> </w:t>
      </w:r>
      <w:hyperlink r:id="rId708">
        <w:r>
          <w:rPr>
            <w:rStyle w:val="Hyperlink"/>
          </w:rPr>
          <w:t xml:space="preserve">https://doi.org/10.1016/j.rser.2015.11.016</w:t>
        </w:r>
      </w:hyperlink>
    </w:p>
    <w:bookmarkEnd w:id="709"/>
    <w:bookmarkStart w:id="711"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710">
        <w:r>
          <w:rPr>
            <w:rStyle w:val="Hyperlink"/>
          </w:rPr>
          <w:t xml:space="preserve">https://doi.org/10.1016/j.ijepes.2015.02.028</w:t>
        </w:r>
      </w:hyperlink>
    </w:p>
    <w:bookmarkEnd w:id="711"/>
    <w:bookmarkStart w:id="713"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712">
        <w:r>
          <w:rPr>
            <w:rStyle w:val="Hyperlink"/>
          </w:rPr>
          <w:t xml:space="preserve">https://doi.org/10.3182/20140824-6-za-1003.02615</w:t>
        </w:r>
      </w:hyperlink>
    </w:p>
    <w:bookmarkEnd w:id="713"/>
    <w:bookmarkStart w:id="715"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714">
        <w:r>
          <w:rPr>
            <w:rStyle w:val="Hyperlink"/>
          </w:rPr>
          <w:t xml:space="preserve">https://doi.org/10.1016/j.jup.2016.10.008</w:t>
        </w:r>
      </w:hyperlink>
    </w:p>
    <w:bookmarkEnd w:id="715"/>
    <w:bookmarkStart w:id="717"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716">
        <w:r>
          <w:rPr>
            <w:rStyle w:val="Hyperlink"/>
          </w:rPr>
          <w:t xml:space="preserve">https://doi.org/10.1016/j.enpol.2009.07.034</w:t>
        </w:r>
      </w:hyperlink>
    </w:p>
    <w:bookmarkEnd w:id="717"/>
    <w:bookmarkStart w:id="719"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718">
        <w:r>
          <w:rPr>
            <w:rStyle w:val="Hyperlink"/>
          </w:rPr>
          <w:t xml:space="preserve">https://doi.org/10.1016/j.apenergy.2017.08.164</w:t>
        </w:r>
      </w:hyperlink>
    </w:p>
    <w:bookmarkEnd w:id="719"/>
    <w:bookmarkStart w:id="721" w:name="X2b00c878694ff3ec7397269e6cb0693693dd5ff"/>
    <w:p>
      <w:pPr>
        <w:pStyle w:val="Bibliography"/>
      </w:pPr>
      <w:r>
        <w:t xml:space="preserve">Wilson, S., 2020.</w:t>
      </w:r>
      <w:r>
        <w:t xml:space="preserve"> </w:t>
      </w:r>
      <w:hyperlink r:id="rId720">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721"/>
    <w:bookmarkStart w:id="722"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722"/>
    <w:bookmarkStart w:id="724"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723">
        <w:r>
          <w:rPr>
            <w:rStyle w:val="Hyperlink"/>
          </w:rPr>
          <w:t xml:space="preserve">https://doi.org/10.1109/tpwrs.2015.2390038</w:t>
        </w:r>
      </w:hyperlink>
    </w:p>
    <w:bookmarkEnd w:id="724"/>
    <w:bookmarkStart w:id="725"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725"/>
    <w:bookmarkEnd w:id="726"/>
    <w:bookmarkEnd w:id="72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4">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7">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32">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40">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50">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2020h</w:t>
        </w:r>
      </w:hyperlink>
      <w:r>
        <w:t xml:space="preserve">)</w:t>
      </w:r>
      <w:r>
        <w:t xml:space="preserve">.</w:t>
      </w:r>
    </w:p>
  </w:footnote>
  <w:footnote w:id="155">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70">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182">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187">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5">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6">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7">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32">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33">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w:t>
        </w:r>
      </w:hyperlink>
      <w:r>
        <w:t xml:space="preserve">)</w:t>
      </w:r>
      <w:r>
        <w:t xml:space="preserve">.</w:t>
      </w:r>
    </w:p>
  </w:footnote>
  <w:footnote w:id="235">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51">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4">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68">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278">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136" Target="media/rId136.png" /><Relationship Type="http://schemas.openxmlformats.org/officeDocument/2006/relationships/image" Id="rId156" Target="media/rId156.eps" /><Relationship Type="http://schemas.openxmlformats.org/officeDocument/2006/relationships/image" Id="rId100" Target="media/rId100.png" /><Relationship Type="http://schemas.openxmlformats.org/officeDocument/2006/relationships/image" Id="rId269" Target="media/rId269.png" /><Relationship Type="http://schemas.openxmlformats.org/officeDocument/2006/relationships/image" Id="rId66" Target="media/rId66.png" /><Relationship Type="http://schemas.openxmlformats.org/officeDocument/2006/relationships/image" Id="rId30" Target="media/rId30.pdf" /><Relationship Type="http://schemas.openxmlformats.org/officeDocument/2006/relationships/image" Id="rId164" Target="media/rId164.png" /><Relationship Type="http://schemas.openxmlformats.org/officeDocument/2006/relationships/image" Id="rId171" Target="media/rId171.png" /><Relationship Type="http://schemas.openxmlformats.org/officeDocument/2006/relationships/image" Id="rId61" Target="media/rId61.png" /><Relationship Type="http://schemas.openxmlformats.org/officeDocument/2006/relationships/image" Id="rId108" Target="media/rId108.png" /><Relationship Type="http://schemas.openxmlformats.org/officeDocument/2006/relationships/image" Id="rId228" Target="media/rId228.png" /><Relationship Type="http://schemas.openxmlformats.org/officeDocument/2006/relationships/image" Id="rId167" Target="media/rId167.eps" /><Relationship Type="http://schemas.openxmlformats.org/officeDocument/2006/relationships/image" Id="rId218" Target="media/rId218.png" /><Relationship Type="http://schemas.openxmlformats.org/officeDocument/2006/relationships/image" Id="rId36" Target="media/rId36.pdf" /><Relationship Type="http://schemas.openxmlformats.org/officeDocument/2006/relationships/image" Id="rId189" Target="media/rId189.png" /><Relationship Type="http://schemas.openxmlformats.org/officeDocument/2006/relationships/image" Id="rId160" Target="media/rId160.eps" /><Relationship Type="http://schemas.openxmlformats.org/officeDocument/2006/relationships/image" Id="rId222" Target="media/rId222.png" /><Relationship Type="http://schemas.openxmlformats.org/officeDocument/2006/relationships/image" Id="rId50" Target="media/rId50.png" /><Relationship Type="http://schemas.openxmlformats.org/officeDocument/2006/relationships/image" Id="rId144" Target="media/rId144.eps" /><Relationship Type="http://schemas.openxmlformats.org/officeDocument/2006/relationships/hyperlink" Id="rId300" Target="http://www.aemc.gov.au/energy-system/electricity/electricity-system/electricity-supply-chain" TargetMode="External" /><Relationship Type="http://schemas.openxmlformats.org/officeDocument/2006/relationships/hyperlink" Id="rId339" Target="https://aemo.com.au/-/media/files/electricity/nem/market_notices_and_events/market_event_reports/2022/nem-market-suspension-and-operational-challenges-in-june-2022.pdf?la=en" TargetMode="External" /><Relationship Type="http://schemas.openxmlformats.org/officeDocument/2006/relationships/hyperlink" Id="rId366" Target="https://aemo.com.au/-/media/files/electricity/nem/planning_and_forecasting/inputs-assumptions-methodologies/2020/2020-inputs-and-assumptions-workbook-dec20.xlsx?la=en" TargetMode="External" /><Relationship Type="http://schemas.openxmlformats.org/officeDocument/2006/relationships/hyperlink" Id="rId380" Target="https://aemo.com.au/-/media/files/electricity/nem/planning_and_forecasting/rsig/reliability-standard-implementation-guidelines.pdf?la=en" TargetMode="External" /><Relationship Type="http://schemas.openxmlformats.org/officeDocument/2006/relationships/hyperlink" Id="rId350" Target="https://aemo.com.au/-/media/files/electricity/nem/security_and_reliability/dispatch/policy_and_process/fast-start-unit-inflexibility-profile.pdf" TargetMode="External" /><Relationship Type="http://schemas.openxmlformats.org/officeDocument/2006/relationships/hyperlink" Id="rId363" Target="https://aemo.com.au/-/media/files/electricity/nem/security_and_reliability/power_system_ops/procedures/so_op_3703-short-term-reserve-management.pdf?la=en" TargetMode="External" /><Relationship Type="http://schemas.openxmlformats.org/officeDocument/2006/relationships/hyperlink" Id="rId370" Target="https://aemo.com.au/-/media/files/major-publications/isp/2020/final-2020-isp-generation-outlook.zip?la=en" TargetMode="External" /><Relationship Type="http://schemas.openxmlformats.org/officeDocument/2006/relationships/hyperlink" Id="rId333" Target="https://aemo.com.au/-/media/files/major-publications/isp/2022/2022-documents/2022-integrated-system-plan-isp.pdf?la=en" TargetMode="External" /><Relationship Type="http://schemas.openxmlformats.org/officeDocument/2006/relationships/hyperlink" Id="rId345" Target="https://aemo.com.au/en/initiatives/major-programs/nem-distributed-energy-resources-der-program/operations/der-behaviour-during-disturbances" TargetMode="External" /><Relationship Type="http://schemas.openxmlformats.org/officeDocument/2006/relationships/hyperlink" Id="rId329" Target="https://aemo.com.au/energy-systems/electricity/national-electricity-market-nem/data-nem/market-management-system-mms-data/pre-dispatch" TargetMode="External" /><Relationship Type="http://schemas.openxmlformats.org/officeDocument/2006/relationships/hyperlink" Id="rId337" Target="https://aemo.com.au/energy-systems/electricity/national-electricity-market-nem/nem-forecasting-and-planning/forecasting-and-planning-data/generation-information" TargetMode="External" /><Relationship Type="http://schemas.openxmlformats.org/officeDocument/2006/relationships/hyperlink" Id="rId368" Target="https://aemo.com.au/energy-systems/major-publications/integrated-system-plan-isp/2020-integrated-system-plan-isp" TargetMode="External" /><Relationship Type="http://schemas.openxmlformats.org/officeDocument/2006/relationships/hyperlink" Id="rId388" Target="https://aemo.com.au/energy-systems/major-publications/integrated-system-plan-isp/2020-integrated-system-plan-isp/2019-isp-database" TargetMode="External" /><Relationship Type="http://schemas.openxmlformats.org/officeDocument/2006/relationships/hyperlink" Id="rId335" Target="https://aemo.com.au/initiatives/major-programs/past-major-programs/five-minute-settlement/5ms-program-management/5ms-commencement" TargetMode="External" /><Relationship Type="http://schemas.openxmlformats.org/officeDocument/2006/relationships/hyperlink" Id="rId331" Target="https://aemo.com.au/learn/energy-explained/energy-101/industry-overview" TargetMode="External" /><Relationship Type="http://schemas.openxmlformats.org/officeDocument/2006/relationships/hyperlink" Id="rId670" Target="https://arena.gov.au/assets/2021/04/renewable-energy-hub-final-report.pdf" TargetMode="External" /><Relationship Type="http://schemas.openxmlformats.org/officeDocument/2006/relationships/hyperlink" Id="rId296" Target="https://arena.gov.au/knowledge-bank/large-scale-battery-storage-knowledge-sharing-report/" TargetMode="External" /><Relationship Type="http://schemas.openxmlformats.org/officeDocument/2006/relationships/hyperlink" Id="rId565" Target="https://doi.org/10.1002/0470020598" TargetMode="External" /><Relationship Type="http://schemas.openxmlformats.org/officeDocument/2006/relationships/hyperlink" Id="rId599" Target="https://doi.org/10.1002/0471668826" TargetMode="External" /><Relationship Type="http://schemas.openxmlformats.org/officeDocument/2006/relationships/hyperlink" Id="rId523" Target="https://doi.org/10.1002/2050-7038.12128" TargetMode="External" /><Relationship Type="http://schemas.openxmlformats.org/officeDocument/2006/relationships/hyperlink" Id="rId422" Target="https://doi.org/10.1002/9780470754245" TargetMode="External" /><Relationship Type="http://schemas.openxmlformats.org/officeDocument/2006/relationships/hyperlink" Id="rId676" Target="https://doi.org/10.1002/wene.137" TargetMode="External" /><Relationship Type="http://schemas.openxmlformats.org/officeDocument/2006/relationships/hyperlink" Id="rId607" Target="https://doi.org/10.1002/wene.399" TargetMode="External" /><Relationship Type="http://schemas.openxmlformats.org/officeDocument/2006/relationships/hyperlink" Id="rId462" Target="https://doi.org/10.1007/s11149-021-09430-7" TargetMode="External" /><Relationship Type="http://schemas.openxmlformats.org/officeDocument/2006/relationships/hyperlink" Id="rId718" Target="https://doi.org/10.1016/j.apenergy.2017.08.164" TargetMode="External" /><Relationship Type="http://schemas.openxmlformats.org/officeDocument/2006/relationships/hyperlink" Id="rId527" Target="https://doi.org/10.1016/j.apenergy.2020.115852" TargetMode="External" /><Relationship Type="http://schemas.openxmlformats.org/officeDocument/2006/relationships/hyperlink" Id="rId637" Target="https://doi.org/10.1016/j.eneco.2018.05.003" TargetMode="External" /><Relationship Type="http://schemas.openxmlformats.org/officeDocument/2006/relationships/hyperlink" Id="rId556" Target="https://doi.org/10.1016/j.enpol.2008.06.033" TargetMode="External" /><Relationship Type="http://schemas.openxmlformats.org/officeDocument/2006/relationships/hyperlink" Id="rId716" Target="https://doi.org/10.1016/j.enpol.2009.07.034" TargetMode="External" /><Relationship Type="http://schemas.openxmlformats.org/officeDocument/2006/relationships/hyperlink" Id="rId688" Target="https://doi.org/10.1016/j.enpol.2013.07.030" TargetMode="External" /><Relationship Type="http://schemas.openxmlformats.org/officeDocument/2006/relationships/hyperlink" Id="rId452" Target="https://doi.org/10.1016/j.enpol.2018.01.023" TargetMode="External" /><Relationship Type="http://schemas.openxmlformats.org/officeDocument/2006/relationships/hyperlink" Id="rId446" Target="https://doi.org/10.1016/j.enpol.2018.09.031" TargetMode="External" /><Relationship Type="http://schemas.openxmlformats.org/officeDocument/2006/relationships/hyperlink" Id="rId652" Target="https://doi.org/10.1016/j.enpol.2018.11.009" TargetMode="External" /><Relationship Type="http://schemas.openxmlformats.org/officeDocument/2006/relationships/hyperlink" Id="rId590" Target="https://doi.org/10.1016/j.enpol.2020.111739" TargetMode="External" /><Relationship Type="http://schemas.openxmlformats.org/officeDocument/2006/relationships/hyperlink" Id="rId603" Target="https://doi.org/10.1016/j.enpol.2020.112010" TargetMode="External" /><Relationship Type="http://schemas.openxmlformats.org/officeDocument/2006/relationships/hyperlink" Id="rId505" Target="https://doi.org/10.1016/j.enpol.2021.112443" TargetMode="External" /><Relationship Type="http://schemas.openxmlformats.org/officeDocument/2006/relationships/hyperlink" Id="rId450" Target="https://doi.org/10.1016/j.epsr.2021.107022" TargetMode="External" /><Relationship Type="http://schemas.openxmlformats.org/officeDocument/2006/relationships/hyperlink" Id="rId621" Target="https://doi.org/10.1016/j.ijepes.2013.09.020" TargetMode="External" /><Relationship Type="http://schemas.openxmlformats.org/officeDocument/2006/relationships/hyperlink" Id="rId710" Target="https://doi.org/10.1016/j.ijepes.2015.02.028" TargetMode="External" /><Relationship Type="http://schemas.openxmlformats.org/officeDocument/2006/relationships/hyperlink" Id="rId507" Target="https://doi.org/10.1016/j.joule.2021.03.021" TargetMode="External" /><Relationship Type="http://schemas.openxmlformats.org/officeDocument/2006/relationships/hyperlink" Id="rId605" Target="https://doi.org/10.1016/j.joule.2022.01.004" TargetMode="External" /><Relationship Type="http://schemas.openxmlformats.org/officeDocument/2006/relationships/hyperlink" Id="rId682" Target="https://doi.org/10.1016/j.jup.2008.01.008" TargetMode="External" /><Relationship Type="http://schemas.openxmlformats.org/officeDocument/2006/relationships/hyperlink" Id="rId714" Target="https://doi.org/10.1016/j.jup.2016.10.008" TargetMode="External" /><Relationship Type="http://schemas.openxmlformats.org/officeDocument/2006/relationships/hyperlink" Id="rId645" Target="https://doi.org/10.1016/j.renene.2018.04.094" TargetMode="External" /><Relationship Type="http://schemas.openxmlformats.org/officeDocument/2006/relationships/hyperlink" Id="rId559" Target="https://doi.org/10.1016/j.renene.2020.11.090" TargetMode="External" /><Relationship Type="http://schemas.openxmlformats.org/officeDocument/2006/relationships/hyperlink" Id="rId532" Target="https://doi.org/10.1016/j.rser.2015.04.180" TargetMode="External" /><Relationship Type="http://schemas.openxmlformats.org/officeDocument/2006/relationships/hyperlink" Id="rId708" Target="https://doi.org/10.1016/j.rser.2015.11.016" TargetMode="External" /><Relationship Type="http://schemas.openxmlformats.org/officeDocument/2006/relationships/hyperlink" Id="rId635" Target="https://doi.org/10.1016/j.rser.2016.09.040" TargetMode="External" /><Relationship Type="http://schemas.openxmlformats.org/officeDocument/2006/relationships/hyperlink" Id="rId514" Target="https://doi.org/10.1016/j.rser.2017.05.278" TargetMode="External" /><Relationship Type="http://schemas.openxmlformats.org/officeDocument/2006/relationships/hyperlink" Id="rId424" Target="https://doi.org/10.1016/j.rser.2018.03.085" TargetMode="External" /><Relationship Type="http://schemas.openxmlformats.org/officeDocument/2006/relationships/hyperlink" Id="rId503" Target="https://doi.org/10.1016/j.rser.2019.109662" TargetMode="External" /><Relationship Type="http://schemas.openxmlformats.org/officeDocument/2006/relationships/hyperlink" Id="rId575" Target="https://doi.org/10.1016/j.rser.2020.110467" TargetMode="External" /><Relationship Type="http://schemas.openxmlformats.org/officeDocument/2006/relationships/hyperlink" Id="rId693" Target="https://doi.org/10.1016/j.rser.2022.112228" TargetMode="External" /><Relationship Type="http://schemas.openxmlformats.org/officeDocument/2006/relationships/hyperlink" Id="rId656" Target="https://doi.org/10.1016/j.rser.2022.112303" TargetMode="External" /><Relationship Type="http://schemas.openxmlformats.org/officeDocument/2006/relationships/hyperlink" Id="rId444" Target="https://doi.org/10.1016/j.seta.2021.101286" TargetMode="External" /><Relationship Type="http://schemas.openxmlformats.org/officeDocument/2006/relationships/hyperlink" Id="rId561" Target="https://doi.org/10.1016/j.solener.2020.05.053" TargetMode="External" /><Relationship Type="http://schemas.openxmlformats.org/officeDocument/2006/relationships/hyperlink" Id="rId546" Target="https://doi.org/10.1016/j.tej.2004.03.001" TargetMode="External" /><Relationship Type="http://schemas.openxmlformats.org/officeDocument/2006/relationships/hyperlink" Id="rId665" Target="https://doi.org/10.1016/j.tej.2007.06.003" TargetMode="External" /><Relationship Type="http://schemas.openxmlformats.org/officeDocument/2006/relationships/hyperlink" Id="rId614" Target="https://doi.org/10.1016/j.tej.2011.10.011" TargetMode="External" /><Relationship Type="http://schemas.openxmlformats.org/officeDocument/2006/relationships/hyperlink" Id="rId476" Target="https://doi.org/10.1016/j.tej.2012.04.015" TargetMode="External" /><Relationship Type="http://schemas.openxmlformats.org/officeDocument/2006/relationships/hyperlink" Id="rId674" Target="https://doi.org/10.1016/j.tej.2015.03.006" TargetMode="External" /><Relationship Type="http://schemas.openxmlformats.org/officeDocument/2006/relationships/hyperlink" Id="rId468" Target="https://doi.org/10.1016/j.tej.2016.05.001" TargetMode="External" /><Relationship Type="http://schemas.openxmlformats.org/officeDocument/2006/relationships/hyperlink" Id="rId543" Target="https://doi.org/10.1016/j.tej.2017.01.009" TargetMode="External" /><Relationship Type="http://schemas.openxmlformats.org/officeDocument/2006/relationships/hyperlink" Id="rId641" Target="https://doi.org/10.1016/j.tej.2018.05.012" TargetMode="External" /><Relationship Type="http://schemas.openxmlformats.org/officeDocument/2006/relationships/hyperlink" Id="rId432" Target="https://doi.org/10.1016/j.tej.2019.106668" TargetMode="External" /><Relationship Type="http://schemas.openxmlformats.org/officeDocument/2006/relationships/hyperlink" Id="rId594" Target="https://doi.org/10.1016/j.tej.2020.106831" TargetMode="External" /><Relationship Type="http://schemas.openxmlformats.org/officeDocument/2006/relationships/hyperlink" Id="rId696" Target="https://doi.org/10.1016/j.tej.2020.106837" TargetMode="External" /><Relationship Type="http://schemas.openxmlformats.org/officeDocument/2006/relationships/hyperlink" Id="rId647" Target="https://doi.org/10.1016/j.tej.2020.106863" TargetMode="External" /><Relationship Type="http://schemas.openxmlformats.org/officeDocument/2006/relationships/hyperlink" Id="rId702" Target="https://doi.org/10.1016/j.tej.2021.106934" TargetMode="External" /><Relationship Type="http://schemas.openxmlformats.org/officeDocument/2006/relationships/hyperlink" Id="rId458" Target="https://doi.org/10.1049/iet-gtd.2013.0720" TargetMode="External" /><Relationship Type="http://schemas.openxmlformats.org/officeDocument/2006/relationships/hyperlink" Id="rId491" Target="https://doi.org/10.1049/iet-rpg.2017.0370" TargetMode="External" /><Relationship Type="http://schemas.openxmlformats.org/officeDocument/2006/relationships/hyperlink" Id="rId521" Target="https://doi.org/10.1080/23251042.2016.1155690" TargetMode="External" /><Relationship Type="http://schemas.openxmlformats.org/officeDocument/2006/relationships/hyperlink" Id="rId448" Target="https://doi.org/10.1093/ooenergy/oiab007" TargetMode="External" /><Relationship Type="http://schemas.openxmlformats.org/officeDocument/2006/relationships/hyperlink" Id="rId442" Target="https://doi.org/10.1093/oxrep/grx041" TargetMode="External" /><Relationship Type="http://schemas.openxmlformats.org/officeDocument/2006/relationships/hyperlink" Id="rId567" Target="https://doi.org/10.1109/MPE.2016.2524964" TargetMode="External" /><Relationship Type="http://schemas.openxmlformats.org/officeDocument/2006/relationships/hyperlink" Id="rId588" Target="https://doi.org/10.1109/MPE.2021.3072819" TargetMode="External" /><Relationship Type="http://schemas.openxmlformats.org/officeDocument/2006/relationships/hyperlink" Id="rId460" Target="https://doi.org/10.1109/MPE.2021.3088958" TargetMode="External" /><Relationship Type="http://schemas.openxmlformats.org/officeDocument/2006/relationships/hyperlink" Id="rId643" Target="https://doi.org/10.1109/TPWRS.2013.2293127" TargetMode="External" /><Relationship Type="http://schemas.openxmlformats.org/officeDocument/2006/relationships/hyperlink" Id="rId426" Target="https://doi.org/10.1109/TPWRS.2019.2925557" TargetMode="External" /><Relationship Type="http://schemas.openxmlformats.org/officeDocument/2006/relationships/hyperlink" Id="rId440" Target="https://doi.org/10.1109/TPWRS.2022.3163106" TargetMode="External" /><Relationship Type="http://schemas.openxmlformats.org/officeDocument/2006/relationships/hyperlink" Id="rId633" Target="https://doi.org/10.1109/eem.2016.7521193" TargetMode="External" /><Relationship Type="http://schemas.openxmlformats.org/officeDocument/2006/relationships/hyperlink" Id="rId684" Target="https://doi.org/10.1109/hicss.2014.304" TargetMode="External" /><Relationship Type="http://schemas.openxmlformats.org/officeDocument/2006/relationships/hyperlink" Id="rId437" Target="https://doi.org/10.1109/jproc.2005.857493" TargetMode="External" /><Relationship Type="http://schemas.openxmlformats.org/officeDocument/2006/relationships/hyperlink" Id="rId569" Target="https://doi.org/10.1109/mpe.2016.2637122" TargetMode="External" /><Relationship Type="http://schemas.openxmlformats.org/officeDocument/2006/relationships/hyperlink" Id="rId534" Target="https://doi.org/10.1109/mpe.2018.2871736" TargetMode="External" /><Relationship Type="http://schemas.openxmlformats.org/officeDocument/2006/relationships/hyperlink" Id="rId474" Target="https://doi.org/10.1109/mpe.2019.2933281" TargetMode="External" /><Relationship Type="http://schemas.openxmlformats.org/officeDocument/2006/relationships/hyperlink" Id="rId700" Target="https://doi.org/10.1109/mpe.2020.3014720" TargetMode="External" /><Relationship Type="http://schemas.openxmlformats.org/officeDocument/2006/relationships/hyperlink" Id="rId472" Target="https://doi.org/10.1109/mpe.2020.3033396" TargetMode="External" /><Relationship Type="http://schemas.openxmlformats.org/officeDocument/2006/relationships/hyperlink" Id="rId597" Target="https://doi.org/10.1109/mpe.2020.3043570" TargetMode="External" /><Relationship Type="http://schemas.openxmlformats.org/officeDocument/2006/relationships/hyperlink" Id="rId577" Target="https://doi.org/10.1109/mpe.2021.3088959" TargetMode="External" /><Relationship Type="http://schemas.openxmlformats.org/officeDocument/2006/relationships/hyperlink" Id="rId601" Target="https://doi.org/10.1109/mpe.2021.3104075" TargetMode="External" /><Relationship Type="http://schemas.openxmlformats.org/officeDocument/2006/relationships/hyperlink" Id="rId698" Target="https://doi.org/10.1109/mpe.2021.3104076" TargetMode="External" /><Relationship Type="http://schemas.openxmlformats.org/officeDocument/2006/relationships/hyperlink" Id="rId704" Target="https://doi.org/10.1109/pes.2007.385855" TargetMode="External" /><Relationship Type="http://schemas.openxmlformats.org/officeDocument/2006/relationships/hyperlink" Id="rId466" Target="https://doi.org/10.1109/pesgm.2012.6345361" TargetMode="External" /><Relationship Type="http://schemas.openxmlformats.org/officeDocument/2006/relationships/hyperlink" Id="rId583" Target="https://doi.org/10.1109/pesgm.2012.6345375" TargetMode="External" /><Relationship Type="http://schemas.openxmlformats.org/officeDocument/2006/relationships/hyperlink" Id="rId592" Target="https://doi.org/10.1109/pesgm41954.2020.9282169" TargetMode="External" /><Relationship Type="http://schemas.openxmlformats.org/officeDocument/2006/relationships/hyperlink" Id="rId539" Target="https://doi.org/10.1109/pesmg.2013.6673067" TargetMode="External" /><Relationship Type="http://schemas.openxmlformats.org/officeDocument/2006/relationships/hyperlink" Id="rId639" Target="https://doi.org/10.1109/pmaps47429.2020.9183585" TargetMode="External" /><Relationship Type="http://schemas.openxmlformats.org/officeDocument/2006/relationships/hyperlink" Id="rId663" Target="https://doi.org/10.1109/tpwrs.2006.888963" TargetMode="External" /><Relationship Type="http://schemas.openxmlformats.org/officeDocument/2006/relationships/hyperlink" Id="rId661" Target="https://doi.org/10.1109/tpwrs.2006.888965" TargetMode="External" /><Relationship Type="http://schemas.openxmlformats.org/officeDocument/2006/relationships/hyperlink" Id="rId581" Target="https://doi.org/10.1109/tpwrs.2011.2177280" TargetMode="External" /><Relationship Type="http://schemas.openxmlformats.org/officeDocument/2006/relationships/hyperlink" Id="rId579" Target="https://doi.org/10.1109/tpwrs.2014.2321793" TargetMode="External" /><Relationship Type="http://schemas.openxmlformats.org/officeDocument/2006/relationships/hyperlink" Id="rId723" Target="https://doi.org/10.1109/tpwrs.2015.2390038" TargetMode="External" /><Relationship Type="http://schemas.openxmlformats.org/officeDocument/2006/relationships/hyperlink" Id="rId617" Target="https://doi.org/10.1109/tpwrs.2019.2897727" TargetMode="External" /><Relationship Type="http://schemas.openxmlformats.org/officeDocument/2006/relationships/hyperlink" Id="rId525" Target="https://doi.org/10.1109/tpwrs.2020.3041774" TargetMode="External" /><Relationship Type="http://schemas.openxmlformats.org/officeDocument/2006/relationships/hyperlink" Id="rId631" Target="https://doi.org/10.1109/tste.2015.2410760" TargetMode="External" /><Relationship Type="http://schemas.openxmlformats.org/officeDocument/2006/relationships/hyperlink" Id="rId706" Target="https://doi.org/10.1260/030952408784305868" TargetMode="External" /><Relationship Type="http://schemas.openxmlformats.org/officeDocument/2006/relationships/hyperlink" Id="rId658" Target="https://doi.org/10.13140/RG.2.2.11620.50560" TargetMode="External" /><Relationship Type="http://schemas.openxmlformats.org/officeDocument/2006/relationships/hyperlink" Id="rId690" Target="https://doi.org/10.13140/RG.2.2.30173.69601" TargetMode="External" /><Relationship Type="http://schemas.openxmlformats.org/officeDocument/2006/relationships/hyperlink" Id="rId519" Target="https://doi.org/10.17775/cseejpes.2019.00230" TargetMode="External" /><Relationship Type="http://schemas.openxmlformats.org/officeDocument/2006/relationships/hyperlink" Id="rId290" Target="https://doi.org/10.2139/ssrn.3302569" TargetMode="External" /><Relationship Type="http://schemas.openxmlformats.org/officeDocument/2006/relationships/hyperlink" Id="rId470" Target="https://doi.org/10.2172/1023095" TargetMode="External" /><Relationship Type="http://schemas.openxmlformats.org/officeDocument/2006/relationships/hyperlink" Id="rId573" Target="https://doi.org/10.2172/1046269" TargetMode="External" /><Relationship Type="http://schemas.openxmlformats.org/officeDocument/2006/relationships/hyperlink" Id="rId585" Target="https://doi.org/10.2172/1220243" TargetMode="External" /><Relationship Type="http://schemas.openxmlformats.org/officeDocument/2006/relationships/hyperlink" Id="rId609" Target="https://doi.org/10.23919/pscc.2018.8450880" TargetMode="External" /><Relationship Type="http://schemas.openxmlformats.org/officeDocument/2006/relationships/hyperlink" Id="rId428" Target="https://doi.org/10.26889/9781784671600" TargetMode="External" /><Relationship Type="http://schemas.openxmlformats.org/officeDocument/2006/relationships/hyperlink" Id="rId712" Target="https://doi.org/10.3182/20140824-6-za-1003.02615" TargetMode="External" /><Relationship Type="http://schemas.openxmlformats.org/officeDocument/2006/relationships/hyperlink" Id="rId686" Target="https://doi.org/10.3929/ethz-a-010692129" TargetMode="External" /><Relationship Type="http://schemas.openxmlformats.org/officeDocument/2006/relationships/hyperlink" Id="rId288" Target="https://doi.org/10.4233/uuid:71f7138f-3af2-4bc3-b035-a3e42b3cafaf" TargetMode="External" /><Relationship Type="http://schemas.openxmlformats.org/officeDocument/2006/relationships/hyperlink" Id="rId654" Target="https://doi.org/10.5281/zenodo.7397514" TargetMode="External" /><Relationship Type="http://schemas.openxmlformats.org/officeDocument/2006/relationships/hyperlink" Id="rId530" Target="https://doi.org/10.5547/01956574.37.3.lhir" TargetMode="External" /><Relationship Type="http://schemas.openxmlformats.org/officeDocument/2006/relationships/hyperlink" Id="rId536" Target="https://doi.org/10.5547/2160-5890.2.2.4" TargetMode="External" /><Relationship Type="http://schemas.openxmlformats.org/officeDocument/2006/relationships/hyperlink" Id="rId672" Target="https://doi.org/10.5547/2160-5890.5.1.jrie" TargetMode="External" /><Relationship Type="http://schemas.openxmlformats.org/officeDocument/2006/relationships/hyperlink" Id="rId435" Target="https://e-cigre.org/publication/SESSION2020_C2-C6-322" TargetMode="External" /><Relationship Type="http://schemas.openxmlformats.org/officeDocument/2006/relationships/hyperlink" Id="rId495" Target="https://eur-lex.europa.eu/legal-content/EN/TXT/?uri=uriserv:OJ.L_.2017.312.01.0006.01.ENG&amp;toc=OJ:L:2017:312:TOC#d1e4442-6-1" TargetMode="External" /><Relationship Type="http://schemas.openxmlformats.org/officeDocument/2006/relationships/hyperlink" Id="rId430" Target="https://haas.berkeley.edu/wp-content/uploads/WP336.pdf" TargetMode="External" /><Relationship Type="http://schemas.openxmlformats.org/officeDocument/2006/relationships/hyperlink" Id="rId554" Target="https://iea.blob.core.windows.net/assets/00dd2818-65f1-426c-8756-9cc0409d89a8/Status_of_Power_System_Transformation_2019.pdf" TargetMode="External" /><Relationship Type="http://schemas.openxmlformats.org/officeDocument/2006/relationships/hyperlink" Id="rId552" Target="https://iea.blob.core.windows.net/assets/deebef5d-0c34-4539-9d0c-10b13d840027/NetZeroby2050-ARoadmapfortheGlobalEnergySector_CORR.pdf" TargetMode="External" /><Relationship Type="http://schemas.openxmlformats.org/officeDocument/2006/relationships/hyperlink" Id="rId571" Target="https://ieefa.org/wp-content/uploads/2022/03/What-Is-the-State-of-Virtual-Power-Plants-in-Australia_March-2022_2.pdf" TargetMode="External" /><Relationship Type="http://schemas.openxmlformats.org/officeDocument/2006/relationships/hyperlink" Id="rId624" Target="https://nemo-committee.eu/sidc" TargetMode="External" /><Relationship Type="http://schemas.openxmlformats.org/officeDocument/2006/relationships/hyperlink" Id="rId420" Target="https://pv-map.apvi.org.au" TargetMode="External" /><Relationship Type="http://schemas.openxmlformats.org/officeDocument/2006/relationships/hyperlink" Id="rId649" Target="https://wattclarity.com.au/articles/2021/12/two-improvements-in-nemde-dispatch/" TargetMode="External" /><Relationship Type="http://schemas.openxmlformats.org/officeDocument/2006/relationships/hyperlink" Id="rId302" Target="https://www.aemc.gov.au/energy-system/electricity/electricity-system/NEM" TargetMode="External" /><Relationship Type="http://schemas.openxmlformats.org/officeDocument/2006/relationships/hyperlink" Id="rId310" Target="https://www.aemc.gov.au/news-centre/data-portal/annual-market-performance-review/2020" TargetMode="External" /><Relationship Type="http://schemas.openxmlformats.org/officeDocument/2006/relationships/hyperlink" Id="rId396" Target="https://www.aemc.gov.au/sites/default/files/2018-03/Advice from AEMO - Primary frequency control.PDF" TargetMode="External" /><Relationship Type="http://schemas.openxmlformats.org/officeDocument/2006/relationships/hyperlink" Id="rId541" Target="https://www.aemc.gov.au/sites/default/files/2019-11/Rule Change SubmissionERC0274 - TasNetworks - 20191031.PDF" TargetMode="External" /><Relationship Type="http://schemas.openxmlformats.org/officeDocument/2006/relationships/hyperlink" Id="rId326" Target="https://www.aemc.gov.au/sites/default/files/2020-08/Updated%20Amended%20Panel%20RERT%20Guidelines%20-%2018%20August%202020%20-%20Final%20for%20publication_0.pdf" TargetMode="External" /><Relationship Type="http://schemas.openxmlformats.org/officeDocument/2006/relationships/hyperlink" Id="rId308" Target="https://www.aemc.gov.au/sites/default/files/2021-01/Reserve%20services%20directions%20paper%20-%205.01.2021%20-%20FINAL.pdf" TargetMode="External" /><Relationship Type="http://schemas.openxmlformats.org/officeDocument/2006/relationships/hyperlink" Id="rId304" Target="https://www.aemc.gov.au/sites/default/files/2022-05/ERC0332%20-%20Updating%20Short%20Term%20PASA%20-%20Final%20determination.pdf" TargetMode="External" /><Relationship Type="http://schemas.openxmlformats.org/officeDocument/2006/relationships/hyperlink" Id="rId324" Target="https://www.aemc.gov.au/sites/default/files/2022-09/2022%20RSS%20Review%20Final%20Report%20%281%29.pdf" TargetMode="External" /><Relationship Type="http://schemas.openxmlformats.org/officeDocument/2006/relationships/hyperlink" Id="rId318" Target="https://www.aemc.gov.au/sites/default/files/content/0bcaf68c-8449-4ce0-aaa6-da223ca6e01c/Final-Determination-ERC0203-Non-scheduled-generation-and-load.pdf" TargetMode="External" /><Relationship Type="http://schemas.openxmlformats.org/officeDocument/2006/relationships/hyperlink" Id="rId320" Target="https://www.aemc.gov.au/sites/default/files/content/68cb8114-113d-4d96-91dc-5cb4b0f9e0ae/ERC0186-DRM-and-ASU-Final-rule-determination-FINAL.PDF" TargetMode="External" /><Relationship Type="http://schemas.openxmlformats.org/officeDocument/2006/relationships/hyperlink" Id="rId322" Target="https://www.aemc.gov.au/sites/default/files/content/815f277c-a015-47d0-bc13-ce3d5faaf96d/Final-Determination.pdf" TargetMode="External" /><Relationship Type="http://schemas.openxmlformats.org/officeDocument/2006/relationships/hyperlink" Id="rId314" Target="https://www.aemc.gov.au/sites/default/files/documents/final_determination_-_short_term_forward_market_-_clean.pdf" TargetMode="External" /><Relationship Type="http://schemas.openxmlformats.org/officeDocument/2006/relationships/hyperlink" Id="rId509" Target="https://www.aemo.com.au/-/media/Files/Electricity/NEM/Planning_and_Forecasting/Inputs-Assumptions-Methodologies/2019/GHD-AEMO-revised---2018-19-Costs_and_Technical_Parameter.xlsb" TargetMode="External" /><Relationship Type="http://schemas.openxmlformats.org/officeDocument/2006/relationships/hyperlink" Id="rId611" Target="https://www.aemo.com.au/-/media/Files/Electricity/NEM/Security_and_Reliability/Reports/2017/20170904-GE-RoCoF-Advisory" TargetMode="External" /><Relationship Type="http://schemas.openxmlformats.org/officeDocument/2006/relationships/hyperlink" Id="rId373"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411" Target="https://www.aemo.com.au/-/media/files/electricity/nem/planning_and_forecasting/pasa/stpasa-process-description.pdf" TargetMode="External" /><Relationship Type="http://schemas.openxmlformats.org/officeDocument/2006/relationships/hyperlink" Id="rId341" Target="https://www.aemo.com.au/-/media/files/electricity/nem/security_and_reliability/congestion-information/transfer-limit-advice-system-strength.pdf?la=en" TargetMode="External" /><Relationship Type="http://schemas.openxmlformats.org/officeDocument/2006/relationships/hyperlink" Id="rId359" Target="https://www.aemo.com.au/-/media/files/electricity/nem/security_and_reliability/dispatch/policy_and_process/pre-dispatch-sensitivities.pdf" TargetMode="External" /><Relationship Type="http://schemas.openxmlformats.org/officeDocument/2006/relationships/hyperlink" Id="rId355" Target="https://www.aemo.com.au/-/media/files/electricity/nem/security_and_reliability/power_system_ops/consumer-fact-sheet.pdf" TargetMode="External" /><Relationship Type="http://schemas.openxmlformats.org/officeDocument/2006/relationships/hyperlink" Id="rId357" Target="https://www.aemo.com.au/-/media/files/electricity/nem/security_and_reliability/power_system_ops/procedures/so_op_3704-predispatch.pdf?la=en" TargetMode="External" /><Relationship Type="http://schemas.openxmlformats.org/officeDocument/2006/relationships/hyperlink" Id="rId402" Target="https://www.aemo.com.au/-/media/files/electricity/nem/security_and_reliability/power_system_ops/reserve-level-declaration-guidelines.pdf?la=en" TargetMode="External" /><Relationship Type="http://schemas.openxmlformats.org/officeDocument/2006/relationships/hyperlink" Id="rId386" Target="https://www.aemo.com.au/-/media/files/initiatives/submissions/2020/wdrm/wdrm-high-level-design-june-2020.pdf" TargetMode="External" /><Relationship Type="http://schemas.openxmlformats.org/officeDocument/2006/relationships/hyperlink" Id="rId418" Target="https://www.aer.gov.au/system/files/AER%20-%20Values%20of%20Customer%20Reliability%20Review%20-%20Final%20Report%20-%20December%202019.pdf" TargetMode="External" /><Relationship Type="http://schemas.openxmlformats.org/officeDocument/2006/relationships/hyperlink" Id="rId414" Target="https://www.aer.gov.au/system/files/State%20of%20the%20energy%20market%202022%20-%20Full%20report.pdf" TargetMode="External" /><Relationship Type="http://schemas.openxmlformats.org/officeDocument/2006/relationships/hyperlink" Id="rId294" Target="https://www.asxenergy.com.au/products/electricity_futures" TargetMode="External" /><Relationship Type="http://schemas.openxmlformats.org/officeDocument/2006/relationships/hyperlink" Id="rId679" Target="https://www.ceem.unsw.edu.au/sites/default/files/uploads/publications/VPP%20User%20Research%20-%20Final%20Report%20-%2020201127r.pdf" TargetMode="External" /><Relationship Type="http://schemas.openxmlformats.org/officeDocument/2006/relationships/hyperlink" Id="rId480" Target="https://www.climatechangeinaustralia.gov.au/media/ccia/2.2/cms_page_media/799/ESCI%20Project%20final%20report_210721.pdf" TargetMode="External" /><Relationship Type="http://schemas.openxmlformats.org/officeDocument/2006/relationships/hyperlink" Id="rId298" Target="https://www.electranet.com.au/wp-content/uploads/projects/2016/11/508986-REP-ElectraNet-Generator-Technical-And-Cost-Parameters-23July2020.pdf" TargetMode="External" /><Relationship Type="http://schemas.openxmlformats.org/officeDocument/2006/relationships/hyperlink" Id="rId483" Target="https://www.energyexemplar.com/plexos" TargetMode="External" /><Relationship Type="http://schemas.openxmlformats.org/officeDocument/2006/relationships/hyperlink" Id="rId489" Target="https://www.epexspot.com/en/marketcoupling" TargetMode="External" /><Relationship Type="http://schemas.openxmlformats.org/officeDocument/2006/relationships/hyperlink" Id="rId464" Target="https://www.epri.com/research/products/000000003002015670" TargetMode="External" /><Relationship Type="http://schemas.openxmlformats.org/officeDocument/2006/relationships/hyperlink" Id="rId512" Target="https://www.esig.energy/download/plenary-1-grid-physics-and-markets-a-non-engineers-perspective-eric-gimon/" TargetMode="External" /><Relationship Type="http://schemas.openxmlformats.org/officeDocument/2006/relationships/hyperlink" Id="rId667" Target="https://www.esig.energy/wp-content/uploads/2021/08/ESIG-Redefining-Resource-Adequacy-2021.pdf" TargetMode="External" /><Relationship Type="http://schemas.openxmlformats.org/officeDocument/2006/relationships/hyperlink" Id="rId500" Target="https://www.ferc.gov/news-events/news/ferc-staff-issues-report-energy-and-ancillary-services-market-reforms-address" TargetMode="External" /><Relationship Type="http://schemas.openxmlformats.org/officeDocument/2006/relationships/hyperlink" Id="rId548" Target="https://www.ibm.com/au-en/analytics/cplex-optimizer" TargetMode="External" /><Relationship Type="http://schemas.openxmlformats.org/officeDocument/2006/relationships/hyperlink" Id="rId550" Target="https://www.iea.org/fuels-and-technologies/energy-storage" TargetMode="External" /><Relationship Type="http://schemas.openxmlformats.org/officeDocument/2006/relationships/hyperlink" Id="rId619" Target="https://www.monitoringanalytics.com/reports/PJM_State_of_the_Market/2021.shtml" TargetMode="External" /><Relationship Type="http://schemas.openxmlformats.org/officeDocument/2006/relationships/hyperlink" Id="rId627" Target="https://www.nerc.com/AboutNERC/keyplayers/PublishingImages/NERC%20Interconnections.pdf" TargetMode="External" /><Relationship Type="http://schemas.openxmlformats.org/officeDocument/2006/relationships/hyperlink" Id="rId629" Target="https://www.nerc.com/pa/RAPA/ra/Reliability%20Assessments%20DL/NERC_SRA_2022.pdf" TargetMode="External" /><Relationship Type="http://schemas.openxmlformats.org/officeDocument/2006/relationships/hyperlink" Id="rId478" Target="https://www.projectenergyconnect.com.au/index.html" TargetMode="External" /><Relationship Type="http://schemas.openxmlformats.org/officeDocument/2006/relationships/hyperlink" Id="rId516" Target="https://www.researchgate.net/publication/329798805" TargetMode="External" /><Relationship Type="http://schemas.openxmlformats.org/officeDocument/2006/relationships/hyperlink" Id="rId292" Target="https://www.semanticscholar.org/paper/Energy-Storage-for-Short-Term-Frequency-Stability-Akram-Mithulananthan/b74131f080c15125436fe65784135492fa318b02" TargetMode="External" /><Relationship Type="http://schemas.openxmlformats.org/officeDocument/2006/relationships/hyperlink" Id="rId720"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300" Target="http://www.aemc.gov.au/energy-system/electricity/electricity-system/electricity-supply-chain" TargetMode="External" /><Relationship Type="http://schemas.openxmlformats.org/officeDocument/2006/relationships/hyperlink" Id="rId339" Target="https://aemo.com.au/-/media/files/electricity/nem/market_notices_and_events/market_event_reports/2022/nem-market-suspension-and-operational-challenges-in-june-2022.pdf?la=en" TargetMode="External" /><Relationship Type="http://schemas.openxmlformats.org/officeDocument/2006/relationships/hyperlink" Id="rId366" Target="https://aemo.com.au/-/media/files/electricity/nem/planning_and_forecasting/inputs-assumptions-methodologies/2020/2020-inputs-and-assumptions-workbook-dec20.xlsx?la=en" TargetMode="External" /><Relationship Type="http://schemas.openxmlformats.org/officeDocument/2006/relationships/hyperlink" Id="rId380" Target="https://aemo.com.au/-/media/files/electricity/nem/planning_and_forecasting/rsig/reliability-standard-implementation-guidelines.pdf?la=en" TargetMode="External" /><Relationship Type="http://schemas.openxmlformats.org/officeDocument/2006/relationships/hyperlink" Id="rId350" Target="https://aemo.com.au/-/media/files/electricity/nem/security_and_reliability/dispatch/policy_and_process/fast-start-unit-inflexibility-profile.pdf" TargetMode="External" /><Relationship Type="http://schemas.openxmlformats.org/officeDocument/2006/relationships/hyperlink" Id="rId363" Target="https://aemo.com.au/-/media/files/electricity/nem/security_and_reliability/power_system_ops/procedures/so_op_3703-short-term-reserve-management.pdf?la=en" TargetMode="External" /><Relationship Type="http://schemas.openxmlformats.org/officeDocument/2006/relationships/hyperlink" Id="rId370" Target="https://aemo.com.au/-/media/files/major-publications/isp/2020/final-2020-isp-generation-outlook.zip?la=en" TargetMode="External" /><Relationship Type="http://schemas.openxmlformats.org/officeDocument/2006/relationships/hyperlink" Id="rId333" Target="https://aemo.com.au/-/media/files/major-publications/isp/2022/2022-documents/2022-integrated-system-plan-isp.pdf?la=en" TargetMode="External" /><Relationship Type="http://schemas.openxmlformats.org/officeDocument/2006/relationships/hyperlink" Id="rId345" Target="https://aemo.com.au/en/initiatives/major-programs/nem-distributed-energy-resources-der-program/operations/der-behaviour-during-disturbances" TargetMode="External" /><Relationship Type="http://schemas.openxmlformats.org/officeDocument/2006/relationships/hyperlink" Id="rId329" Target="https://aemo.com.au/energy-systems/electricity/national-electricity-market-nem/data-nem/market-management-system-mms-data/pre-dispatch" TargetMode="External" /><Relationship Type="http://schemas.openxmlformats.org/officeDocument/2006/relationships/hyperlink" Id="rId337" Target="https://aemo.com.au/energy-systems/electricity/national-electricity-market-nem/nem-forecasting-and-planning/forecasting-and-planning-data/generation-information" TargetMode="External" /><Relationship Type="http://schemas.openxmlformats.org/officeDocument/2006/relationships/hyperlink" Id="rId368" Target="https://aemo.com.au/energy-systems/major-publications/integrated-system-plan-isp/2020-integrated-system-plan-isp" TargetMode="External" /><Relationship Type="http://schemas.openxmlformats.org/officeDocument/2006/relationships/hyperlink" Id="rId388" Target="https://aemo.com.au/energy-systems/major-publications/integrated-system-plan-isp/2020-integrated-system-plan-isp/2019-isp-database" TargetMode="External" /><Relationship Type="http://schemas.openxmlformats.org/officeDocument/2006/relationships/hyperlink" Id="rId335" Target="https://aemo.com.au/initiatives/major-programs/past-major-programs/five-minute-settlement/5ms-program-management/5ms-commencement" TargetMode="External" /><Relationship Type="http://schemas.openxmlformats.org/officeDocument/2006/relationships/hyperlink" Id="rId331" Target="https://aemo.com.au/learn/energy-explained/energy-101/industry-overview" TargetMode="External" /><Relationship Type="http://schemas.openxmlformats.org/officeDocument/2006/relationships/hyperlink" Id="rId670" Target="https://arena.gov.au/assets/2021/04/renewable-energy-hub-final-report.pdf" TargetMode="External" /><Relationship Type="http://schemas.openxmlformats.org/officeDocument/2006/relationships/hyperlink" Id="rId296" Target="https://arena.gov.au/knowledge-bank/large-scale-battery-storage-knowledge-sharing-report/" TargetMode="External" /><Relationship Type="http://schemas.openxmlformats.org/officeDocument/2006/relationships/hyperlink" Id="rId565" Target="https://doi.org/10.1002/0470020598" TargetMode="External" /><Relationship Type="http://schemas.openxmlformats.org/officeDocument/2006/relationships/hyperlink" Id="rId599" Target="https://doi.org/10.1002/0471668826" TargetMode="External" /><Relationship Type="http://schemas.openxmlformats.org/officeDocument/2006/relationships/hyperlink" Id="rId523" Target="https://doi.org/10.1002/2050-7038.12128" TargetMode="External" /><Relationship Type="http://schemas.openxmlformats.org/officeDocument/2006/relationships/hyperlink" Id="rId422" Target="https://doi.org/10.1002/9780470754245" TargetMode="External" /><Relationship Type="http://schemas.openxmlformats.org/officeDocument/2006/relationships/hyperlink" Id="rId676" Target="https://doi.org/10.1002/wene.137" TargetMode="External" /><Relationship Type="http://schemas.openxmlformats.org/officeDocument/2006/relationships/hyperlink" Id="rId607" Target="https://doi.org/10.1002/wene.399" TargetMode="External" /><Relationship Type="http://schemas.openxmlformats.org/officeDocument/2006/relationships/hyperlink" Id="rId462" Target="https://doi.org/10.1007/s11149-021-09430-7" TargetMode="External" /><Relationship Type="http://schemas.openxmlformats.org/officeDocument/2006/relationships/hyperlink" Id="rId718" Target="https://doi.org/10.1016/j.apenergy.2017.08.164" TargetMode="External" /><Relationship Type="http://schemas.openxmlformats.org/officeDocument/2006/relationships/hyperlink" Id="rId527" Target="https://doi.org/10.1016/j.apenergy.2020.115852" TargetMode="External" /><Relationship Type="http://schemas.openxmlformats.org/officeDocument/2006/relationships/hyperlink" Id="rId637" Target="https://doi.org/10.1016/j.eneco.2018.05.003" TargetMode="External" /><Relationship Type="http://schemas.openxmlformats.org/officeDocument/2006/relationships/hyperlink" Id="rId556" Target="https://doi.org/10.1016/j.enpol.2008.06.033" TargetMode="External" /><Relationship Type="http://schemas.openxmlformats.org/officeDocument/2006/relationships/hyperlink" Id="rId716" Target="https://doi.org/10.1016/j.enpol.2009.07.034" TargetMode="External" /><Relationship Type="http://schemas.openxmlformats.org/officeDocument/2006/relationships/hyperlink" Id="rId688" Target="https://doi.org/10.1016/j.enpol.2013.07.030" TargetMode="External" /><Relationship Type="http://schemas.openxmlformats.org/officeDocument/2006/relationships/hyperlink" Id="rId452" Target="https://doi.org/10.1016/j.enpol.2018.01.023" TargetMode="External" /><Relationship Type="http://schemas.openxmlformats.org/officeDocument/2006/relationships/hyperlink" Id="rId446" Target="https://doi.org/10.1016/j.enpol.2018.09.031" TargetMode="External" /><Relationship Type="http://schemas.openxmlformats.org/officeDocument/2006/relationships/hyperlink" Id="rId652" Target="https://doi.org/10.1016/j.enpol.2018.11.009" TargetMode="External" /><Relationship Type="http://schemas.openxmlformats.org/officeDocument/2006/relationships/hyperlink" Id="rId590" Target="https://doi.org/10.1016/j.enpol.2020.111739" TargetMode="External" /><Relationship Type="http://schemas.openxmlformats.org/officeDocument/2006/relationships/hyperlink" Id="rId603" Target="https://doi.org/10.1016/j.enpol.2020.112010" TargetMode="External" /><Relationship Type="http://schemas.openxmlformats.org/officeDocument/2006/relationships/hyperlink" Id="rId505" Target="https://doi.org/10.1016/j.enpol.2021.112443" TargetMode="External" /><Relationship Type="http://schemas.openxmlformats.org/officeDocument/2006/relationships/hyperlink" Id="rId450" Target="https://doi.org/10.1016/j.epsr.2021.107022" TargetMode="External" /><Relationship Type="http://schemas.openxmlformats.org/officeDocument/2006/relationships/hyperlink" Id="rId621" Target="https://doi.org/10.1016/j.ijepes.2013.09.020" TargetMode="External" /><Relationship Type="http://schemas.openxmlformats.org/officeDocument/2006/relationships/hyperlink" Id="rId710" Target="https://doi.org/10.1016/j.ijepes.2015.02.028" TargetMode="External" /><Relationship Type="http://schemas.openxmlformats.org/officeDocument/2006/relationships/hyperlink" Id="rId507" Target="https://doi.org/10.1016/j.joule.2021.03.021" TargetMode="External" /><Relationship Type="http://schemas.openxmlformats.org/officeDocument/2006/relationships/hyperlink" Id="rId605" Target="https://doi.org/10.1016/j.joule.2022.01.004" TargetMode="External" /><Relationship Type="http://schemas.openxmlformats.org/officeDocument/2006/relationships/hyperlink" Id="rId682" Target="https://doi.org/10.1016/j.jup.2008.01.008" TargetMode="External" /><Relationship Type="http://schemas.openxmlformats.org/officeDocument/2006/relationships/hyperlink" Id="rId714" Target="https://doi.org/10.1016/j.jup.2016.10.008" TargetMode="External" /><Relationship Type="http://schemas.openxmlformats.org/officeDocument/2006/relationships/hyperlink" Id="rId645" Target="https://doi.org/10.1016/j.renene.2018.04.094" TargetMode="External" /><Relationship Type="http://schemas.openxmlformats.org/officeDocument/2006/relationships/hyperlink" Id="rId559" Target="https://doi.org/10.1016/j.renene.2020.11.090" TargetMode="External" /><Relationship Type="http://schemas.openxmlformats.org/officeDocument/2006/relationships/hyperlink" Id="rId532" Target="https://doi.org/10.1016/j.rser.2015.04.180" TargetMode="External" /><Relationship Type="http://schemas.openxmlformats.org/officeDocument/2006/relationships/hyperlink" Id="rId708" Target="https://doi.org/10.1016/j.rser.2015.11.016" TargetMode="External" /><Relationship Type="http://schemas.openxmlformats.org/officeDocument/2006/relationships/hyperlink" Id="rId635" Target="https://doi.org/10.1016/j.rser.2016.09.040" TargetMode="External" /><Relationship Type="http://schemas.openxmlformats.org/officeDocument/2006/relationships/hyperlink" Id="rId514" Target="https://doi.org/10.1016/j.rser.2017.05.278" TargetMode="External" /><Relationship Type="http://schemas.openxmlformats.org/officeDocument/2006/relationships/hyperlink" Id="rId424" Target="https://doi.org/10.1016/j.rser.2018.03.085" TargetMode="External" /><Relationship Type="http://schemas.openxmlformats.org/officeDocument/2006/relationships/hyperlink" Id="rId503" Target="https://doi.org/10.1016/j.rser.2019.109662" TargetMode="External" /><Relationship Type="http://schemas.openxmlformats.org/officeDocument/2006/relationships/hyperlink" Id="rId575" Target="https://doi.org/10.1016/j.rser.2020.110467" TargetMode="External" /><Relationship Type="http://schemas.openxmlformats.org/officeDocument/2006/relationships/hyperlink" Id="rId693" Target="https://doi.org/10.1016/j.rser.2022.112228" TargetMode="External" /><Relationship Type="http://schemas.openxmlformats.org/officeDocument/2006/relationships/hyperlink" Id="rId656" Target="https://doi.org/10.1016/j.rser.2022.112303" TargetMode="External" /><Relationship Type="http://schemas.openxmlformats.org/officeDocument/2006/relationships/hyperlink" Id="rId444" Target="https://doi.org/10.1016/j.seta.2021.101286" TargetMode="External" /><Relationship Type="http://schemas.openxmlformats.org/officeDocument/2006/relationships/hyperlink" Id="rId561" Target="https://doi.org/10.1016/j.solener.2020.05.053" TargetMode="External" /><Relationship Type="http://schemas.openxmlformats.org/officeDocument/2006/relationships/hyperlink" Id="rId546" Target="https://doi.org/10.1016/j.tej.2004.03.001" TargetMode="External" /><Relationship Type="http://schemas.openxmlformats.org/officeDocument/2006/relationships/hyperlink" Id="rId665" Target="https://doi.org/10.1016/j.tej.2007.06.003" TargetMode="External" /><Relationship Type="http://schemas.openxmlformats.org/officeDocument/2006/relationships/hyperlink" Id="rId614" Target="https://doi.org/10.1016/j.tej.2011.10.011" TargetMode="External" /><Relationship Type="http://schemas.openxmlformats.org/officeDocument/2006/relationships/hyperlink" Id="rId476" Target="https://doi.org/10.1016/j.tej.2012.04.015" TargetMode="External" /><Relationship Type="http://schemas.openxmlformats.org/officeDocument/2006/relationships/hyperlink" Id="rId674" Target="https://doi.org/10.1016/j.tej.2015.03.006" TargetMode="External" /><Relationship Type="http://schemas.openxmlformats.org/officeDocument/2006/relationships/hyperlink" Id="rId468" Target="https://doi.org/10.1016/j.tej.2016.05.001" TargetMode="External" /><Relationship Type="http://schemas.openxmlformats.org/officeDocument/2006/relationships/hyperlink" Id="rId543" Target="https://doi.org/10.1016/j.tej.2017.01.009" TargetMode="External" /><Relationship Type="http://schemas.openxmlformats.org/officeDocument/2006/relationships/hyperlink" Id="rId641" Target="https://doi.org/10.1016/j.tej.2018.05.012" TargetMode="External" /><Relationship Type="http://schemas.openxmlformats.org/officeDocument/2006/relationships/hyperlink" Id="rId432" Target="https://doi.org/10.1016/j.tej.2019.106668" TargetMode="External" /><Relationship Type="http://schemas.openxmlformats.org/officeDocument/2006/relationships/hyperlink" Id="rId594" Target="https://doi.org/10.1016/j.tej.2020.106831" TargetMode="External" /><Relationship Type="http://schemas.openxmlformats.org/officeDocument/2006/relationships/hyperlink" Id="rId696" Target="https://doi.org/10.1016/j.tej.2020.106837" TargetMode="External" /><Relationship Type="http://schemas.openxmlformats.org/officeDocument/2006/relationships/hyperlink" Id="rId647" Target="https://doi.org/10.1016/j.tej.2020.106863" TargetMode="External" /><Relationship Type="http://schemas.openxmlformats.org/officeDocument/2006/relationships/hyperlink" Id="rId702" Target="https://doi.org/10.1016/j.tej.2021.106934" TargetMode="External" /><Relationship Type="http://schemas.openxmlformats.org/officeDocument/2006/relationships/hyperlink" Id="rId458" Target="https://doi.org/10.1049/iet-gtd.2013.0720" TargetMode="External" /><Relationship Type="http://schemas.openxmlformats.org/officeDocument/2006/relationships/hyperlink" Id="rId491" Target="https://doi.org/10.1049/iet-rpg.2017.0370" TargetMode="External" /><Relationship Type="http://schemas.openxmlformats.org/officeDocument/2006/relationships/hyperlink" Id="rId521" Target="https://doi.org/10.1080/23251042.2016.1155690" TargetMode="External" /><Relationship Type="http://schemas.openxmlformats.org/officeDocument/2006/relationships/hyperlink" Id="rId448" Target="https://doi.org/10.1093/ooenergy/oiab007" TargetMode="External" /><Relationship Type="http://schemas.openxmlformats.org/officeDocument/2006/relationships/hyperlink" Id="rId442" Target="https://doi.org/10.1093/oxrep/grx041" TargetMode="External" /><Relationship Type="http://schemas.openxmlformats.org/officeDocument/2006/relationships/hyperlink" Id="rId567" Target="https://doi.org/10.1109/MPE.2016.2524964" TargetMode="External" /><Relationship Type="http://schemas.openxmlformats.org/officeDocument/2006/relationships/hyperlink" Id="rId588" Target="https://doi.org/10.1109/MPE.2021.3072819" TargetMode="External" /><Relationship Type="http://schemas.openxmlformats.org/officeDocument/2006/relationships/hyperlink" Id="rId460" Target="https://doi.org/10.1109/MPE.2021.3088958" TargetMode="External" /><Relationship Type="http://schemas.openxmlformats.org/officeDocument/2006/relationships/hyperlink" Id="rId643" Target="https://doi.org/10.1109/TPWRS.2013.2293127" TargetMode="External" /><Relationship Type="http://schemas.openxmlformats.org/officeDocument/2006/relationships/hyperlink" Id="rId426" Target="https://doi.org/10.1109/TPWRS.2019.2925557" TargetMode="External" /><Relationship Type="http://schemas.openxmlformats.org/officeDocument/2006/relationships/hyperlink" Id="rId440" Target="https://doi.org/10.1109/TPWRS.2022.3163106" TargetMode="External" /><Relationship Type="http://schemas.openxmlformats.org/officeDocument/2006/relationships/hyperlink" Id="rId633" Target="https://doi.org/10.1109/eem.2016.7521193" TargetMode="External" /><Relationship Type="http://schemas.openxmlformats.org/officeDocument/2006/relationships/hyperlink" Id="rId684" Target="https://doi.org/10.1109/hicss.2014.304" TargetMode="External" /><Relationship Type="http://schemas.openxmlformats.org/officeDocument/2006/relationships/hyperlink" Id="rId437" Target="https://doi.org/10.1109/jproc.2005.857493" TargetMode="External" /><Relationship Type="http://schemas.openxmlformats.org/officeDocument/2006/relationships/hyperlink" Id="rId569" Target="https://doi.org/10.1109/mpe.2016.2637122" TargetMode="External" /><Relationship Type="http://schemas.openxmlformats.org/officeDocument/2006/relationships/hyperlink" Id="rId534" Target="https://doi.org/10.1109/mpe.2018.2871736" TargetMode="External" /><Relationship Type="http://schemas.openxmlformats.org/officeDocument/2006/relationships/hyperlink" Id="rId474" Target="https://doi.org/10.1109/mpe.2019.2933281" TargetMode="External" /><Relationship Type="http://schemas.openxmlformats.org/officeDocument/2006/relationships/hyperlink" Id="rId700" Target="https://doi.org/10.1109/mpe.2020.3014720" TargetMode="External" /><Relationship Type="http://schemas.openxmlformats.org/officeDocument/2006/relationships/hyperlink" Id="rId472" Target="https://doi.org/10.1109/mpe.2020.3033396" TargetMode="External" /><Relationship Type="http://schemas.openxmlformats.org/officeDocument/2006/relationships/hyperlink" Id="rId597" Target="https://doi.org/10.1109/mpe.2020.3043570" TargetMode="External" /><Relationship Type="http://schemas.openxmlformats.org/officeDocument/2006/relationships/hyperlink" Id="rId577" Target="https://doi.org/10.1109/mpe.2021.3088959" TargetMode="External" /><Relationship Type="http://schemas.openxmlformats.org/officeDocument/2006/relationships/hyperlink" Id="rId601" Target="https://doi.org/10.1109/mpe.2021.3104075" TargetMode="External" /><Relationship Type="http://schemas.openxmlformats.org/officeDocument/2006/relationships/hyperlink" Id="rId698" Target="https://doi.org/10.1109/mpe.2021.3104076" TargetMode="External" /><Relationship Type="http://schemas.openxmlformats.org/officeDocument/2006/relationships/hyperlink" Id="rId704" Target="https://doi.org/10.1109/pes.2007.385855" TargetMode="External" /><Relationship Type="http://schemas.openxmlformats.org/officeDocument/2006/relationships/hyperlink" Id="rId466" Target="https://doi.org/10.1109/pesgm.2012.6345361" TargetMode="External" /><Relationship Type="http://schemas.openxmlformats.org/officeDocument/2006/relationships/hyperlink" Id="rId583" Target="https://doi.org/10.1109/pesgm.2012.6345375" TargetMode="External" /><Relationship Type="http://schemas.openxmlformats.org/officeDocument/2006/relationships/hyperlink" Id="rId592" Target="https://doi.org/10.1109/pesgm41954.2020.9282169" TargetMode="External" /><Relationship Type="http://schemas.openxmlformats.org/officeDocument/2006/relationships/hyperlink" Id="rId539" Target="https://doi.org/10.1109/pesmg.2013.6673067" TargetMode="External" /><Relationship Type="http://schemas.openxmlformats.org/officeDocument/2006/relationships/hyperlink" Id="rId639" Target="https://doi.org/10.1109/pmaps47429.2020.9183585" TargetMode="External" /><Relationship Type="http://schemas.openxmlformats.org/officeDocument/2006/relationships/hyperlink" Id="rId663" Target="https://doi.org/10.1109/tpwrs.2006.888963" TargetMode="External" /><Relationship Type="http://schemas.openxmlformats.org/officeDocument/2006/relationships/hyperlink" Id="rId661" Target="https://doi.org/10.1109/tpwrs.2006.888965" TargetMode="External" /><Relationship Type="http://schemas.openxmlformats.org/officeDocument/2006/relationships/hyperlink" Id="rId581" Target="https://doi.org/10.1109/tpwrs.2011.2177280" TargetMode="External" /><Relationship Type="http://schemas.openxmlformats.org/officeDocument/2006/relationships/hyperlink" Id="rId579" Target="https://doi.org/10.1109/tpwrs.2014.2321793" TargetMode="External" /><Relationship Type="http://schemas.openxmlformats.org/officeDocument/2006/relationships/hyperlink" Id="rId723" Target="https://doi.org/10.1109/tpwrs.2015.2390038" TargetMode="External" /><Relationship Type="http://schemas.openxmlformats.org/officeDocument/2006/relationships/hyperlink" Id="rId617" Target="https://doi.org/10.1109/tpwrs.2019.2897727" TargetMode="External" /><Relationship Type="http://schemas.openxmlformats.org/officeDocument/2006/relationships/hyperlink" Id="rId525" Target="https://doi.org/10.1109/tpwrs.2020.3041774" TargetMode="External" /><Relationship Type="http://schemas.openxmlformats.org/officeDocument/2006/relationships/hyperlink" Id="rId631" Target="https://doi.org/10.1109/tste.2015.2410760" TargetMode="External" /><Relationship Type="http://schemas.openxmlformats.org/officeDocument/2006/relationships/hyperlink" Id="rId706" Target="https://doi.org/10.1260/030952408784305868" TargetMode="External" /><Relationship Type="http://schemas.openxmlformats.org/officeDocument/2006/relationships/hyperlink" Id="rId658" Target="https://doi.org/10.13140/RG.2.2.11620.50560" TargetMode="External" /><Relationship Type="http://schemas.openxmlformats.org/officeDocument/2006/relationships/hyperlink" Id="rId690" Target="https://doi.org/10.13140/RG.2.2.30173.69601" TargetMode="External" /><Relationship Type="http://schemas.openxmlformats.org/officeDocument/2006/relationships/hyperlink" Id="rId519" Target="https://doi.org/10.17775/cseejpes.2019.00230" TargetMode="External" /><Relationship Type="http://schemas.openxmlformats.org/officeDocument/2006/relationships/hyperlink" Id="rId290" Target="https://doi.org/10.2139/ssrn.3302569" TargetMode="External" /><Relationship Type="http://schemas.openxmlformats.org/officeDocument/2006/relationships/hyperlink" Id="rId470" Target="https://doi.org/10.2172/1023095" TargetMode="External" /><Relationship Type="http://schemas.openxmlformats.org/officeDocument/2006/relationships/hyperlink" Id="rId573" Target="https://doi.org/10.2172/1046269" TargetMode="External" /><Relationship Type="http://schemas.openxmlformats.org/officeDocument/2006/relationships/hyperlink" Id="rId585" Target="https://doi.org/10.2172/1220243" TargetMode="External" /><Relationship Type="http://schemas.openxmlformats.org/officeDocument/2006/relationships/hyperlink" Id="rId609" Target="https://doi.org/10.23919/pscc.2018.8450880" TargetMode="External" /><Relationship Type="http://schemas.openxmlformats.org/officeDocument/2006/relationships/hyperlink" Id="rId428" Target="https://doi.org/10.26889/9781784671600" TargetMode="External" /><Relationship Type="http://schemas.openxmlformats.org/officeDocument/2006/relationships/hyperlink" Id="rId712" Target="https://doi.org/10.3182/20140824-6-za-1003.02615" TargetMode="External" /><Relationship Type="http://schemas.openxmlformats.org/officeDocument/2006/relationships/hyperlink" Id="rId686" Target="https://doi.org/10.3929/ethz-a-010692129" TargetMode="External" /><Relationship Type="http://schemas.openxmlformats.org/officeDocument/2006/relationships/hyperlink" Id="rId288" Target="https://doi.org/10.4233/uuid:71f7138f-3af2-4bc3-b035-a3e42b3cafaf" TargetMode="External" /><Relationship Type="http://schemas.openxmlformats.org/officeDocument/2006/relationships/hyperlink" Id="rId654" Target="https://doi.org/10.5281/zenodo.7397514" TargetMode="External" /><Relationship Type="http://schemas.openxmlformats.org/officeDocument/2006/relationships/hyperlink" Id="rId530" Target="https://doi.org/10.5547/01956574.37.3.lhir" TargetMode="External" /><Relationship Type="http://schemas.openxmlformats.org/officeDocument/2006/relationships/hyperlink" Id="rId536" Target="https://doi.org/10.5547/2160-5890.2.2.4" TargetMode="External" /><Relationship Type="http://schemas.openxmlformats.org/officeDocument/2006/relationships/hyperlink" Id="rId672" Target="https://doi.org/10.5547/2160-5890.5.1.jrie" TargetMode="External" /><Relationship Type="http://schemas.openxmlformats.org/officeDocument/2006/relationships/hyperlink" Id="rId435" Target="https://e-cigre.org/publication/SESSION2020_C2-C6-322" TargetMode="External" /><Relationship Type="http://schemas.openxmlformats.org/officeDocument/2006/relationships/hyperlink" Id="rId495" Target="https://eur-lex.europa.eu/legal-content/EN/TXT/?uri=uriserv:OJ.L_.2017.312.01.0006.01.ENG&amp;toc=OJ:L:2017:312:TOC#d1e4442-6-1" TargetMode="External" /><Relationship Type="http://schemas.openxmlformats.org/officeDocument/2006/relationships/hyperlink" Id="rId430" Target="https://haas.berkeley.edu/wp-content/uploads/WP336.pdf" TargetMode="External" /><Relationship Type="http://schemas.openxmlformats.org/officeDocument/2006/relationships/hyperlink" Id="rId554" Target="https://iea.blob.core.windows.net/assets/00dd2818-65f1-426c-8756-9cc0409d89a8/Status_of_Power_System_Transformation_2019.pdf" TargetMode="External" /><Relationship Type="http://schemas.openxmlformats.org/officeDocument/2006/relationships/hyperlink" Id="rId552" Target="https://iea.blob.core.windows.net/assets/deebef5d-0c34-4539-9d0c-10b13d840027/NetZeroby2050-ARoadmapfortheGlobalEnergySector_CORR.pdf" TargetMode="External" /><Relationship Type="http://schemas.openxmlformats.org/officeDocument/2006/relationships/hyperlink" Id="rId571" Target="https://ieefa.org/wp-content/uploads/2022/03/What-Is-the-State-of-Virtual-Power-Plants-in-Australia_March-2022_2.pdf" TargetMode="External" /><Relationship Type="http://schemas.openxmlformats.org/officeDocument/2006/relationships/hyperlink" Id="rId624" Target="https://nemo-committee.eu/sidc" TargetMode="External" /><Relationship Type="http://schemas.openxmlformats.org/officeDocument/2006/relationships/hyperlink" Id="rId420" Target="https://pv-map.apvi.org.au" TargetMode="External" /><Relationship Type="http://schemas.openxmlformats.org/officeDocument/2006/relationships/hyperlink" Id="rId649" Target="https://wattclarity.com.au/articles/2021/12/two-improvements-in-nemde-dispatch/" TargetMode="External" /><Relationship Type="http://schemas.openxmlformats.org/officeDocument/2006/relationships/hyperlink" Id="rId302" Target="https://www.aemc.gov.au/energy-system/electricity/electricity-system/NEM" TargetMode="External" /><Relationship Type="http://schemas.openxmlformats.org/officeDocument/2006/relationships/hyperlink" Id="rId310" Target="https://www.aemc.gov.au/news-centre/data-portal/annual-market-performance-review/2020" TargetMode="External" /><Relationship Type="http://schemas.openxmlformats.org/officeDocument/2006/relationships/hyperlink" Id="rId396" Target="https://www.aemc.gov.au/sites/default/files/2018-03/Advice from AEMO - Primary frequency control.PDF" TargetMode="External" /><Relationship Type="http://schemas.openxmlformats.org/officeDocument/2006/relationships/hyperlink" Id="rId541" Target="https://www.aemc.gov.au/sites/default/files/2019-11/Rule Change SubmissionERC0274 - TasNetworks - 20191031.PDF" TargetMode="External" /><Relationship Type="http://schemas.openxmlformats.org/officeDocument/2006/relationships/hyperlink" Id="rId326" Target="https://www.aemc.gov.au/sites/default/files/2020-08/Updated%20Amended%20Panel%20RERT%20Guidelines%20-%2018%20August%202020%20-%20Final%20for%20publication_0.pdf" TargetMode="External" /><Relationship Type="http://schemas.openxmlformats.org/officeDocument/2006/relationships/hyperlink" Id="rId308" Target="https://www.aemc.gov.au/sites/default/files/2021-01/Reserve%20services%20directions%20paper%20-%205.01.2021%20-%20FINAL.pdf" TargetMode="External" /><Relationship Type="http://schemas.openxmlformats.org/officeDocument/2006/relationships/hyperlink" Id="rId304" Target="https://www.aemc.gov.au/sites/default/files/2022-05/ERC0332%20-%20Updating%20Short%20Term%20PASA%20-%20Final%20determination.pdf" TargetMode="External" /><Relationship Type="http://schemas.openxmlformats.org/officeDocument/2006/relationships/hyperlink" Id="rId324" Target="https://www.aemc.gov.au/sites/default/files/2022-09/2022%20RSS%20Review%20Final%20Report%20%281%29.pdf" TargetMode="External" /><Relationship Type="http://schemas.openxmlformats.org/officeDocument/2006/relationships/hyperlink" Id="rId318" Target="https://www.aemc.gov.au/sites/default/files/content/0bcaf68c-8449-4ce0-aaa6-da223ca6e01c/Final-Determination-ERC0203-Non-scheduled-generation-and-load.pdf" TargetMode="External" /><Relationship Type="http://schemas.openxmlformats.org/officeDocument/2006/relationships/hyperlink" Id="rId320" Target="https://www.aemc.gov.au/sites/default/files/content/68cb8114-113d-4d96-91dc-5cb4b0f9e0ae/ERC0186-DRM-and-ASU-Final-rule-determination-FINAL.PDF" TargetMode="External" /><Relationship Type="http://schemas.openxmlformats.org/officeDocument/2006/relationships/hyperlink" Id="rId322" Target="https://www.aemc.gov.au/sites/default/files/content/815f277c-a015-47d0-bc13-ce3d5faaf96d/Final-Determination.pdf" TargetMode="External" /><Relationship Type="http://schemas.openxmlformats.org/officeDocument/2006/relationships/hyperlink" Id="rId314" Target="https://www.aemc.gov.au/sites/default/files/documents/final_determination_-_short_term_forward_market_-_clean.pdf" TargetMode="External" /><Relationship Type="http://schemas.openxmlformats.org/officeDocument/2006/relationships/hyperlink" Id="rId509" Target="https://www.aemo.com.au/-/media/Files/Electricity/NEM/Planning_and_Forecasting/Inputs-Assumptions-Methodologies/2019/GHD-AEMO-revised---2018-19-Costs_and_Technical_Parameter.xlsb" TargetMode="External" /><Relationship Type="http://schemas.openxmlformats.org/officeDocument/2006/relationships/hyperlink" Id="rId611" Target="https://www.aemo.com.au/-/media/Files/Electricity/NEM/Security_and_Reliability/Reports/2017/20170904-GE-RoCoF-Advisory" TargetMode="External" /><Relationship Type="http://schemas.openxmlformats.org/officeDocument/2006/relationships/hyperlink" Id="rId373"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411" Target="https://www.aemo.com.au/-/media/files/electricity/nem/planning_and_forecasting/pasa/stpasa-process-description.pdf" TargetMode="External" /><Relationship Type="http://schemas.openxmlformats.org/officeDocument/2006/relationships/hyperlink" Id="rId341" Target="https://www.aemo.com.au/-/media/files/electricity/nem/security_and_reliability/congestion-information/transfer-limit-advice-system-strength.pdf?la=en" TargetMode="External" /><Relationship Type="http://schemas.openxmlformats.org/officeDocument/2006/relationships/hyperlink" Id="rId359" Target="https://www.aemo.com.au/-/media/files/electricity/nem/security_and_reliability/dispatch/policy_and_process/pre-dispatch-sensitivities.pdf" TargetMode="External" /><Relationship Type="http://schemas.openxmlformats.org/officeDocument/2006/relationships/hyperlink" Id="rId355" Target="https://www.aemo.com.au/-/media/files/electricity/nem/security_and_reliability/power_system_ops/consumer-fact-sheet.pdf" TargetMode="External" /><Relationship Type="http://schemas.openxmlformats.org/officeDocument/2006/relationships/hyperlink" Id="rId357" Target="https://www.aemo.com.au/-/media/files/electricity/nem/security_and_reliability/power_system_ops/procedures/so_op_3704-predispatch.pdf?la=en" TargetMode="External" /><Relationship Type="http://schemas.openxmlformats.org/officeDocument/2006/relationships/hyperlink" Id="rId402" Target="https://www.aemo.com.au/-/media/files/electricity/nem/security_and_reliability/power_system_ops/reserve-level-declaration-guidelines.pdf?la=en" TargetMode="External" /><Relationship Type="http://schemas.openxmlformats.org/officeDocument/2006/relationships/hyperlink" Id="rId386" Target="https://www.aemo.com.au/-/media/files/initiatives/submissions/2020/wdrm/wdrm-high-level-design-june-2020.pdf" TargetMode="External" /><Relationship Type="http://schemas.openxmlformats.org/officeDocument/2006/relationships/hyperlink" Id="rId418" Target="https://www.aer.gov.au/system/files/AER%20-%20Values%20of%20Customer%20Reliability%20Review%20-%20Final%20Report%20-%20December%202019.pdf" TargetMode="External" /><Relationship Type="http://schemas.openxmlformats.org/officeDocument/2006/relationships/hyperlink" Id="rId414" Target="https://www.aer.gov.au/system/files/State%20of%20the%20energy%20market%202022%20-%20Full%20report.pdf" TargetMode="External" /><Relationship Type="http://schemas.openxmlformats.org/officeDocument/2006/relationships/hyperlink" Id="rId294" Target="https://www.asxenergy.com.au/products/electricity_futures" TargetMode="External" /><Relationship Type="http://schemas.openxmlformats.org/officeDocument/2006/relationships/hyperlink" Id="rId679" Target="https://www.ceem.unsw.edu.au/sites/default/files/uploads/publications/VPP%20User%20Research%20-%20Final%20Report%20-%2020201127r.pdf" TargetMode="External" /><Relationship Type="http://schemas.openxmlformats.org/officeDocument/2006/relationships/hyperlink" Id="rId480" Target="https://www.climatechangeinaustralia.gov.au/media/ccia/2.2/cms_page_media/799/ESCI%20Project%20final%20report_210721.pdf" TargetMode="External" /><Relationship Type="http://schemas.openxmlformats.org/officeDocument/2006/relationships/hyperlink" Id="rId298" Target="https://www.electranet.com.au/wp-content/uploads/projects/2016/11/508986-REP-ElectraNet-Generator-Technical-And-Cost-Parameters-23July2020.pdf" TargetMode="External" /><Relationship Type="http://schemas.openxmlformats.org/officeDocument/2006/relationships/hyperlink" Id="rId483" Target="https://www.energyexemplar.com/plexos" TargetMode="External" /><Relationship Type="http://schemas.openxmlformats.org/officeDocument/2006/relationships/hyperlink" Id="rId489" Target="https://www.epexspot.com/en/marketcoupling" TargetMode="External" /><Relationship Type="http://schemas.openxmlformats.org/officeDocument/2006/relationships/hyperlink" Id="rId464" Target="https://www.epri.com/research/products/000000003002015670" TargetMode="External" /><Relationship Type="http://schemas.openxmlformats.org/officeDocument/2006/relationships/hyperlink" Id="rId512" Target="https://www.esig.energy/download/plenary-1-grid-physics-and-markets-a-non-engineers-perspective-eric-gimon/" TargetMode="External" /><Relationship Type="http://schemas.openxmlformats.org/officeDocument/2006/relationships/hyperlink" Id="rId667" Target="https://www.esig.energy/wp-content/uploads/2021/08/ESIG-Redefining-Resource-Adequacy-2021.pdf" TargetMode="External" /><Relationship Type="http://schemas.openxmlformats.org/officeDocument/2006/relationships/hyperlink" Id="rId500" Target="https://www.ferc.gov/news-events/news/ferc-staff-issues-report-energy-and-ancillary-services-market-reforms-address" TargetMode="External" /><Relationship Type="http://schemas.openxmlformats.org/officeDocument/2006/relationships/hyperlink" Id="rId548" Target="https://www.ibm.com/au-en/analytics/cplex-optimizer" TargetMode="External" /><Relationship Type="http://schemas.openxmlformats.org/officeDocument/2006/relationships/hyperlink" Id="rId550" Target="https://www.iea.org/fuels-and-technologies/energy-storage" TargetMode="External" /><Relationship Type="http://schemas.openxmlformats.org/officeDocument/2006/relationships/hyperlink" Id="rId619" Target="https://www.monitoringanalytics.com/reports/PJM_State_of_the_Market/2021.shtml" TargetMode="External" /><Relationship Type="http://schemas.openxmlformats.org/officeDocument/2006/relationships/hyperlink" Id="rId627" Target="https://www.nerc.com/AboutNERC/keyplayers/PublishingImages/NERC%20Interconnections.pdf" TargetMode="External" /><Relationship Type="http://schemas.openxmlformats.org/officeDocument/2006/relationships/hyperlink" Id="rId629" Target="https://www.nerc.com/pa/RAPA/ra/Reliability%20Assessments%20DL/NERC_SRA_2022.pdf" TargetMode="External" /><Relationship Type="http://schemas.openxmlformats.org/officeDocument/2006/relationships/hyperlink" Id="rId478" Target="https://www.projectenergyconnect.com.au/index.html" TargetMode="External" /><Relationship Type="http://schemas.openxmlformats.org/officeDocument/2006/relationships/hyperlink" Id="rId516" Target="https://www.researchgate.net/publication/329798805" TargetMode="External" /><Relationship Type="http://schemas.openxmlformats.org/officeDocument/2006/relationships/hyperlink" Id="rId292" Target="https://www.semanticscholar.org/paper/Energy-Storage-for-Short-Term-Frequency-Stability-Akram-Mithulananthan/b74131f080c15125436fe65784135492fa318b02" TargetMode="External" /><Relationship Type="http://schemas.openxmlformats.org/officeDocument/2006/relationships/hyperlink" Id="rId720"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2023-10-31T06:43:46Z</dcterms:created>
  <dcterms:modified xsi:type="dcterms:W3CDTF">2023-10-31T06:43:46Z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October 31,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